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5A" w:rsidRPr="0049367C" w:rsidRDefault="000A1FB4">
      <w:pPr>
        <w:rPr>
          <w:b/>
          <w:sz w:val="40"/>
          <w:szCs w:val="40"/>
        </w:rPr>
      </w:pPr>
      <w:r w:rsidRPr="0049367C">
        <w:rPr>
          <w:b/>
          <w:sz w:val="40"/>
          <w:szCs w:val="40"/>
        </w:rPr>
        <w:t>Obchodní výměna České republiky – definice klíčových zemí z hlediska exportu ČR (inovovaná verze s daty za rok 2012 a 2013</w:t>
      </w:r>
      <w:r w:rsidR="0049367C">
        <w:rPr>
          <w:b/>
          <w:sz w:val="40"/>
          <w:szCs w:val="40"/>
        </w:rPr>
        <w:t>)</w:t>
      </w:r>
    </w:p>
    <w:p w:rsidR="000A1FB4" w:rsidRPr="0049367C" w:rsidRDefault="000A1FB4">
      <w:pPr>
        <w:rPr>
          <w:b/>
          <w:sz w:val="28"/>
          <w:szCs w:val="28"/>
        </w:rPr>
      </w:pPr>
      <w:r w:rsidRPr="0049367C">
        <w:rPr>
          <w:b/>
          <w:sz w:val="28"/>
          <w:szCs w:val="28"/>
        </w:rPr>
        <w:t xml:space="preserve">prof. Eva </w:t>
      </w:r>
      <w:proofErr w:type="spellStart"/>
      <w:r w:rsidRPr="0049367C">
        <w:rPr>
          <w:b/>
          <w:sz w:val="28"/>
          <w:szCs w:val="28"/>
        </w:rPr>
        <w:t>Kislingerová</w:t>
      </w:r>
      <w:proofErr w:type="spellEnd"/>
      <w:r w:rsidRPr="0049367C">
        <w:rPr>
          <w:b/>
          <w:sz w:val="28"/>
          <w:szCs w:val="28"/>
        </w:rPr>
        <w:t>, doc. Luboš Smrčka (vědecký tým Výzkum insolvence)</w:t>
      </w:r>
    </w:p>
    <w:p w:rsidR="0049367C" w:rsidRDefault="00707405">
      <w:r>
        <w:t xml:space="preserve">poznámka: Pokud není uvedeno jinak, jsou data použitá v textu citována podle Českého statistického úřadu: Zahraniční obchod České republiky prosinec 2013, </w:t>
      </w:r>
      <w:hyperlink r:id="rId6" w:history="1">
        <w:r w:rsidRPr="002F1FD8">
          <w:rPr>
            <w:rStyle w:val="Hypertextovodkaz"/>
          </w:rPr>
          <w:t>http://www.czso.cz/csu/2013edicniplan.nsf/p/6001-13</w:t>
        </w:r>
      </w:hyperlink>
      <w:r>
        <w:t xml:space="preserve"> )</w:t>
      </w:r>
    </w:p>
    <w:p w:rsidR="0049367C" w:rsidRPr="0049367C" w:rsidRDefault="0049367C">
      <w:pPr>
        <w:rPr>
          <w:b/>
        </w:rPr>
      </w:pPr>
      <w:r>
        <w:rPr>
          <w:b/>
        </w:rPr>
        <w:t>Základní informace</w:t>
      </w:r>
    </w:p>
    <w:p w:rsidR="0049367C" w:rsidRDefault="000A1FB4">
      <w:r>
        <w:t xml:space="preserve">V rámci projektu </w:t>
      </w:r>
      <w:r w:rsidR="0049367C">
        <w:t xml:space="preserve">"Vývoj transakčních nákladů českých ekonomických subjektů v insolvenčním řízení, možnosti jejich snižování na úroveň běžnou v EU pomocí zdokonalení legislativy, možnosti zlepšení statistiky insolvenčních řízení a vytvoření modelu finanční křehkosti rodin", který je registrovaný u Technologické agentury České republiky (TA ČR) pod evidenčním číslem </w:t>
      </w:r>
      <w:proofErr w:type="spellStart"/>
      <w:r w:rsidR="0049367C">
        <w:t>TD</w:t>
      </w:r>
      <w:proofErr w:type="spellEnd"/>
      <w:r w:rsidR="0049367C">
        <w:t xml:space="preserve"> 010093, přijal vědecký tým Výzkum insolvence také úkol vytvořit databázi informací o insolvenčních řízeních v zemích, se kterými má Česká republika největší objem obchodní výměny. Vzhledem k charakteristice insolvenčních řízení z hlediska definování jejich rizikovosti pro obchodní společnosti jde v této souvislosti primárně o ty státy, kam směřuje exportní činnost českých podniků.</w:t>
      </w:r>
    </w:p>
    <w:p w:rsidR="000A1FB4" w:rsidRDefault="0049367C">
      <w:r>
        <w:t>To je fakt vyplývající z principu obchodní výměny, kdy riziko podstupuje dodavatel, neboť ten kryje celou transakci svými prostředky a pokud jejím naplněním není adekvátní platba od odběratele (v dané souvislosti zahraničního odběratele) dochází na jeho straně k podstoupení rizika nezaplacení a tedy rizika ztráty vzniklé z obchodu. Jak je známo, v této oblasti působí několik národních institucí, které mají snižovat rizika obchodu s některými státy – jde především o pojištění těchto obchodů nebo o poskytnutí úvěrů na obchody. Povětšinou se však tato státní pomoc zaměřuje na obchod se zeměmi, které jsou obecně považovány za rizikové. Přitom drtivá většina obchodních transakcí českých subjektů se odehrává se státy uvnitř Evropské unie. Zde nesou příslušná rizika pouze a přímo obchodní společnosti, které se do mezinárodní kooperace zapojují.</w:t>
      </w:r>
    </w:p>
    <w:p w:rsidR="0049367C" w:rsidRDefault="0049367C">
      <w:r>
        <w:t>Smyslem dané části projektu tedy je poskytovat obchodním společnostem určitou sumu informací o rizicích pojících se k daným zemím a případně o specifických postupech, které jsou v nich spojeny s insolvenčními řízeními. Zde totiž platí, že účastnit se insolvenčního řízení v zahraničí je samozřejmě možné a je možné bez větších formálních překážek vymáhat touto cestou pohledávky, celý proces však nutně představuje větší náklady než podobný proces odehrávající se v prostředí pro obchodní společnost domácím.</w:t>
      </w:r>
    </w:p>
    <w:p w:rsidR="0049367C" w:rsidRPr="0049367C" w:rsidRDefault="0049367C">
      <w:pPr>
        <w:rPr>
          <w:b/>
        </w:rPr>
      </w:pPr>
      <w:r>
        <w:rPr>
          <w:b/>
        </w:rPr>
        <w:t>Klíčoví obchodní partneři z hlediska exportu</w:t>
      </w:r>
    </w:p>
    <w:p w:rsidR="0049367C" w:rsidRDefault="00622EBC">
      <w:r>
        <w:t xml:space="preserve">Rozhodující směr exportu České republiky je namířen do západní Evropy a to do zemí Evropské unie, přičemž zcela zásadní je vliv eurozóny. Jak ukazuje následující graf, který zachycuje stav v prosinci roku 2013 (tedy pouze za jediný měsíc, proto jsou některá čísla mírně odlišná od údajů následujících, které zachycují například stav celého roku 2013), prakticky osmdesát procent exportu České </w:t>
      </w:r>
      <w:r>
        <w:lastRenderedPageBreak/>
        <w:t xml:space="preserve">republiky (jde o zboží i služby) je realizováno se zeměmi označenými jako EU27. Pouze dvě desetiny vývozu směřují jinam. </w:t>
      </w:r>
    </w:p>
    <w:p w:rsidR="00605F5B" w:rsidRPr="00605F5B" w:rsidRDefault="00605F5B" w:rsidP="00605F5B">
      <w:r>
        <w:rPr>
          <w:b/>
          <w:bCs/>
        </w:rPr>
        <w:t xml:space="preserve">Graf 1: </w:t>
      </w:r>
      <w:r w:rsidRPr="00605F5B">
        <w:rPr>
          <w:b/>
          <w:bCs/>
        </w:rPr>
        <w:t>Vývoz do vybraných států (podíl v %) v prosinci 2013</w:t>
      </w:r>
    </w:p>
    <w:p w:rsidR="00622EBC" w:rsidRDefault="00622EBC">
      <w:r>
        <w:rPr>
          <w:noProof/>
          <w:lang w:eastAsia="cs-CZ"/>
        </w:rPr>
        <w:drawing>
          <wp:inline distT="0" distB="0" distL="0" distR="0" wp14:anchorId="08D778F8" wp14:editId="4D486A8E">
            <wp:extent cx="5762847" cy="280699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4339F" w:rsidRDefault="0034339F">
      <w:r>
        <w:t>Logickou otázkou pak je, nakolik jsou rizika v zemích Evropské unie vážná, tedy nakolik opravdu hrozí českým exportérům riziko, že kvůli insolvenci obchodního partnera v zahraničí (v EU 27) utrpí ztráty a pokud, nakolik půjde o ztráty fatální.</w:t>
      </w:r>
    </w:p>
    <w:p w:rsidR="00605F5B" w:rsidRPr="00605F5B" w:rsidRDefault="00605F5B">
      <w:pPr>
        <w:rPr>
          <w:b/>
        </w:rPr>
      </w:pPr>
      <w:r>
        <w:rPr>
          <w:b/>
        </w:rPr>
        <w:t>Tabulka 1: Vývoz České republiky v letech 2005 až 2013 (měsíční a čtvrtletní data, celoroční souhrn)</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992"/>
        <w:gridCol w:w="921"/>
        <w:gridCol w:w="852"/>
        <w:gridCol w:w="921"/>
        <w:gridCol w:w="921"/>
        <w:gridCol w:w="921"/>
        <w:gridCol w:w="922"/>
        <w:gridCol w:w="922"/>
        <w:gridCol w:w="922"/>
        <w:gridCol w:w="918"/>
      </w:tblGrid>
      <w:tr w:rsidR="00E371CF" w:rsidRPr="0034339F" w:rsidTr="00B51A7C">
        <w:trPr>
          <w:trHeight w:val="259"/>
        </w:trPr>
        <w:tc>
          <w:tcPr>
            <w:tcW w:w="543" w:type="pct"/>
            <w:shd w:val="clear" w:color="000000" w:fill="FFFFFF"/>
            <w:vAlign w:val="center"/>
            <w:hideMark/>
          </w:tcPr>
          <w:p w:rsidR="00E371CF" w:rsidRPr="0034339F" w:rsidRDefault="00E371CF" w:rsidP="00707405">
            <w:pPr>
              <w:spacing w:after="0" w:line="240" w:lineRule="auto"/>
              <w:jc w:val="center"/>
              <w:rPr>
                <w:rFonts w:ascii="Arial" w:eastAsia="Times New Roman" w:hAnsi="Arial" w:cs="Arial"/>
                <w:b/>
                <w:bCs/>
                <w:color w:val="292929"/>
                <w:sz w:val="16"/>
                <w:szCs w:val="16"/>
                <w:lang w:eastAsia="cs-CZ"/>
              </w:rPr>
            </w:pPr>
            <w:r w:rsidRPr="0034339F">
              <w:rPr>
                <w:rFonts w:ascii="Arial" w:eastAsia="Times New Roman" w:hAnsi="Arial" w:cs="Arial"/>
                <w:b/>
                <w:bCs/>
                <w:color w:val="292929"/>
                <w:sz w:val="16"/>
                <w:szCs w:val="16"/>
                <w:lang w:eastAsia="cs-CZ"/>
              </w:rPr>
              <w:t>Vývoz</w:t>
            </w:r>
          </w:p>
        </w:tc>
        <w:tc>
          <w:tcPr>
            <w:tcW w:w="504" w:type="pct"/>
            <w:shd w:val="clear" w:color="auto" w:fill="auto"/>
            <w:noWrap/>
            <w:vAlign w:val="center"/>
            <w:hideMark/>
          </w:tcPr>
          <w:p w:rsidR="00E371CF" w:rsidRPr="0034339F" w:rsidRDefault="00E371CF" w:rsidP="00707405">
            <w:pPr>
              <w:spacing w:after="0" w:line="240" w:lineRule="auto"/>
              <w:jc w:val="center"/>
              <w:rPr>
                <w:rFonts w:ascii="Arial" w:eastAsia="Times New Roman" w:hAnsi="Arial" w:cs="Arial"/>
                <w:b/>
                <w:color w:val="1C1C1C"/>
                <w:sz w:val="16"/>
                <w:szCs w:val="16"/>
                <w:lang w:eastAsia="cs-CZ"/>
              </w:rPr>
            </w:pPr>
            <w:r w:rsidRPr="00707405">
              <w:rPr>
                <w:rFonts w:ascii="Arial" w:eastAsia="Times New Roman" w:hAnsi="Arial" w:cs="Arial"/>
                <w:b/>
                <w:color w:val="1C1C1C"/>
                <w:sz w:val="16"/>
                <w:szCs w:val="16"/>
                <w:lang w:eastAsia="cs-CZ"/>
              </w:rPr>
              <w:t>2005</w:t>
            </w:r>
          </w:p>
        </w:tc>
        <w:tc>
          <w:tcPr>
            <w:tcW w:w="426" w:type="pct"/>
            <w:shd w:val="clear" w:color="auto" w:fill="auto"/>
            <w:noWrap/>
            <w:vAlign w:val="center"/>
            <w:hideMark/>
          </w:tcPr>
          <w:p w:rsidR="00E371CF" w:rsidRPr="0034339F" w:rsidRDefault="00E371CF" w:rsidP="00707405">
            <w:pPr>
              <w:spacing w:after="0" w:line="240" w:lineRule="auto"/>
              <w:jc w:val="center"/>
              <w:rPr>
                <w:rFonts w:ascii="Arial" w:eastAsia="Times New Roman" w:hAnsi="Arial" w:cs="Arial"/>
                <w:b/>
                <w:color w:val="1C1C1C"/>
                <w:sz w:val="16"/>
                <w:szCs w:val="16"/>
                <w:lang w:eastAsia="cs-CZ"/>
              </w:rPr>
            </w:pPr>
            <w:r w:rsidRPr="00707405">
              <w:rPr>
                <w:rFonts w:ascii="Arial" w:eastAsia="Times New Roman" w:hAnsi="Arial" w:cs="Arial"/>
                <w:b/>
                <w:color w:val="1C1C1C"/>
                <w:sz w:val="16"/>
                <w:szCs w:val="16"/>
                <w:lang w:eastAsia="cs-CZ"/>
              </w:rPr>
              <w:t>2006</w:t>
            </w:r>
          </w:p>
        </w:tc>
        <w:tc>
          <w:tcPr>
            <w:tcW w:w="504" w:type="pct"/>
            <w:shd w:val="clear" w:color="auto" w:fill="auto"/>
            <w:noWrap/>
            <w:vAlign w:val="center"/>
            <w:hideMark/>
          </w:tcPr>
          <w:p w:rsidR="00E371CF" w:rsidRPr="0034339F" w:rsidRDefault="00E371CF" w:rsidP="00707405">
            <w:pPr>
              <w:spacing w:after="0" w:line="240" w:lineRule="auto"/>
              <w:jc w:val="center"/>
              <w:rPr>
                <w:rFonts w:ascii="Arial" w:eastAsia="Times New Roman" w:hAnsi="Arial" w:cs="Arial"/>
                <w:b/>
                <w:color w:val="1C1C1C"/>
                <w:sz w:val="16"/>
                <w:szCs w:val="16"/>
                <w:lang w:eastAsia="cs-CZ"/>
              </w:rPr>
            </w:pPr>
            <w:r w:rsidRPr="00707405">
              <w:rPr>
                <w:rFonts w:ascii="Arial" w:eastAsia="Times New Roman" w:hAnsi="Arial" w:cs="Arial"/>
                <w:b/>
                <w:color w:val="1C1C1C"/>
                <w:sz w:val="16"/>
                <w:szCs w:val="16"/>
                <w:lang w:eastAsia="cs-CZ"/>
              </w:rPr>
              <w:t>2007</w:t>
            </w:r>
          </w:p>
        </w:tc>
        <w:tc>
          <w:tcPr>
            <w:tcW w:w="504" w:type="pct"/>
            <w:shd w:val="clear" w:color="auto" w:fill="auto"/>
            <w:noWrap/>
            <w:vAlign w:val="center"/>
            <w:hideMark/>
          </w:tcPr>
          <w:p w:rsidR="00E371CF" w:rsidRPr="0034339F" w:rsidRDefault="00E371CF" w:rsidP="00707405">
            <w:pPr>
              <w:spacing w:after="0" w:line="240" w:lineRule="auto"/>
              <w:jc w:val="center"/>
              <w:rPr>
                <w:rFonts w:ascii="Arial" w:eastAsia="Times New Roman" w:hAnsi="Arial" w:cs="Arial"/>
                <w:b/>
                <w:color w:val="1C1C1C"/>
                <w:sz w:val="16"/>
                <w:szCs w:val="16"/>
                <w:lang w:eastAsia="cs-CZ"/>
              </w:rPr>
            </w:pPr>
            <w:r w:rsidRPr="00707405">
              <w:rPr>
                <w:rFonts w:ascii="Arial" w:eastAsia="Times New Roman" w:hAnsi="Arial" w:cs="Arial"/>
                <w:b/>
                <w:color w:val="1C1C1C"/>
                <w:sz w:val="16"/>
                <w:szCs w:val="16"/>
                <w:lang w:eastAsia="cs-CZ"/>
              </w:rPr>
              <w:t>2008</w:t>
            </w:r>
          </w:p>
        </w:tc>
        <w:tc>
          <w:tcPr>
            <w:tcW w:w="504" w:type="pct"/>
            <w:shd w:val="clear" w:color="auto" w:fill="auto"/>
            <w:noWrap/>
            <w:vAlign w:val="center"/>
            <w:hideMark/>
          </w:tcPr>
          <w:p w:rsidR="00E371CF" w:rsidRPr="0034339F" w:rsidRDefault="00E371CF" w:rsidP="00707405">
            <w:pPr>
              <w:spacing w:after="0" w:line="240" w:lineRule="auto"/>
              <w:jc w:val="center"/>
              <w:rPr>
                <w:rFonts w:ascii="Arial" w:eastAsia="Times New Roman" w:hAnsi="Arial" w:cs="Arial"/>
                <w:b/>
                <w:color w:val="1C1C1C"/>
                <w:sz w:val="16"/>
                <w:szCs w:val="16"/>
                <w:lang w:eastAsia="cs-CZ"/>
              </w:rPr>
            </w:pPr>
            <w:r w:rsidRPr="00707405">
              <w:rPr>
                <w:rFonts w:ascii="Arial" w:eastAsia="Times New Roman" w:hAnsi="Arial" w:cs="Arial"/>
                <w:b/>
                <w:color w:val="1C1C1C"/>
                <w:sz w:val="16"/>
                <w:szCs w:val="16"/>
                <w:lang w:eastAsia="cs-CZ"/>
              </w:rPr>
              <w:t>2009</w:t>
            </w:r>
          </w:p>
        </w:tc>
        <w:tc>
          <w:tcPr>
            <w:tcW w:w="504" w:type="pct"/>
            <w:shd w:val="clear" w:color="auto" w:fill="auto"/>
            <w:noWrap/>
            <w:vAlign w:val="center"/>
            <w:hideMark/>
          </w:tcPr>
          <w:p w:rsidR="00E371CF" w:rsidRPr="0034339F" w:rsidRDefault="00E371CF" w:rsidP="00707405">
            <w:pPr>
              <w:spacing w:after="0" w:line="240" w:lineRule="auto"/>
              <w:jc w:val="center"/>
              <w:rPr>
                <w:rFonts w:ascii="Arial" w:eastAsia="Times New Roman" w:hAnsi="Arial" w:cs="Arial"/>
                <w:b/>
                <w:color w:val="1C1C1C"/>
                <w:sz w:val="16"/>
                <w:szCs w:val="16"/>
                <w:lang w:eastAsia="cs-CZ"/>
              </w:rPr>
            </w:pPr>
            <w:r w:rsidRPr="00707405">
              <w:rPr>
                <w:rFonts w:ascii="Arial" w:eastAsia="Times New Roman" w:hAnsi="Arial" w:cs="Arial"/>
                <w:b/>
                <w:color w:val="1C1C1C"/>
                <w:sz w:val="16"/>
                <w:szCs w:val="16"/>
                <w:lang w:eastAsia="cs-CZ"/>
              </w:rPr>
              <w:t>2010</w:t>
            </w:r>
          </w:p>
        </w:tc>
        <w:tc>
          <w:tcPr>
            <w:tcW w:w="504" w:type="pct"/>
            <w:shd w:val="clear" w:color="auto" w:fill="auto"/>
            <w:noWrap/>
            <w:vAlign w:val="center"/>
            <w:hideMark/>
          </w:tcPr>
          <w:p w:rsidR="00E371CF" w:rsidRPr="0034339F" w:rsidRDefault="00E371CF" w:rsidP="00707405">
            <w:pPr>
              <w:spacing w:after="0" w:line="240" w:lineRule="auto"/>
              <w:jc w:val="center"/>
              <w:rPr>
                <w:rFonts w:ascii="Arial" w:eastAsia="Times New Roman" w:hAnsi="Arial" w:cs="Arial"/>
                <w:b/>
                <w:color w:val="1C1C1C"/>
                <w:sz w:val="16"/>
                <w:szCs w:val="16"/>
                <w:lang w:eastAsia="cs-CZ"/>
              </w:rPr>
            </w:pPr>
            <w:r w:rsidRPr="00707405">
              <w:rPr>
                <w:rFonts w:ascii="Arial" w:eastAsia="Times New Roman" w:hAnsi="Arial" w:cs="Arial"/>
                <w:b/>
                <w:color w:val="1C1C1C"/>
                <w:sz w:val="16"/>
                <w:szCs w:val="16"/>
                <w:lang w:eastAsia="cs-CZ"/>
              </w:rPr>
              <w:t>2011</w:t>
            </w:r>
          </w:p>
        </w:tc>
        <w:tc>
          <w:tcPr>
            <w:tcW w:w="504" w:type="pct"/>
            <w:shd w:val="clear" w:color="auto" w:fill="auto"/>
            <w:noWrap/>
            <w:vAlign w:val="center"/>
            <w:hideMark/>
          </w:tcPr>
          <w:p w:rsidR="00E371CF" w:rsidRPr="0034339F" w:rsidRDefault="00E371CF" w:rsidP="00707405">
            <w:pPr>
              <w:spacing w:after="0" w:line="240" w:lineRule="auto"/>
              <w:jc w:val="center"/>
              <w:rPr>
                <w:rFonts w:ascii="Arial" w:eastAsia="Times New Roman" w:hAnsi="Arial" w:cs="Arial"/>
                <w:b/>
                <w:color w:val="1C1C1C"/>
                <w:sz w:val="16"/>
                <w:szCs w:val="16"/>
                <w:lang w:eastAsia="cs-CZ"/>
              </w:rPr>
            </w:pPr>
            <w:r w:rsidRPr="00707405">
              <w:rPr>
                <w:rFonts w:ascii="Arial" w:eastAsia="Times New Roman" w:hAnsi="Arial" w:cs="Arial"/>
                <w:b/>
                <w:color w:val="1C1C1C"/>
                <w:sz w:val="16"/>
                <w:szCs w:val="16"/>
                <w:lang w:eastAsia="cs-CZ"/>
              </w:rPr>
              <w:t>2012</w:t>
            </w:r>
          </w:p>
        </w:tc>
        <w:tc>
          <w:tcPr>
            <w:tcW w:w="502" w:type="pct"/>
            <w:shd w:val="clear" w:color="auto" w:fill="auto"/>
            <w:noWrap/>
            <w:vAlign w:val="center"/>
            <w:hideMark/>
          </w:tcPr>
          <w:p w:rsidR="00E371CF" w:rsidRPr="0034339F" w:rsidRDefault="00E371CF" w:rsidP="00707405">
            <w:pPr>
              <w:spacing w:after="0" w:line="240" w:lineRule="auto"/>
              <w:jc w:val="center"/>
              <w:rPr>
                <w:rFonts w:ascii="Arial" w:eastAsia="Times New Roman" w:hAnsi="Arial" w:cs="Arial"/>
                <w:b/>
                <w:color w:val="1C1C1C"/>
                <w:sz w:val="16"/>
                <w:szCs w:val="16"/>
                <w:lang w:eastAsia="cs-CZ"/>
              </w:rPr>
            </w:pPr>
            <w:r w:rsidRPr="00707405">
              <w:rPr>
                <w:rFonts w:ascii="Arial" w:eastAsia="Times New Roman" w:hAnsi="Arial" w:cs="Arial"/>
                <w:b/>
                <w:color w:val="1C1C1C"/>
                <w:sz w:val="16"/>
                <w:szCs w:val="16"/>
                <w:lang w:eastAsia="cs-CZ"/>
              </w:rPr>
              <w:t>2013</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leden</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136 818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163 636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189 572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213 813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159 837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176 672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224 425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253 869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246 616 </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únor</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139 704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159 641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193 686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217 578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167 777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186 299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218 608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253 617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242 892 </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březen</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154 532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188 026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217 986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214 026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195 240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220 197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260 517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279 839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260 233 </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duben</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154 047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161 499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197 080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225 263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175 642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200 955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230 610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249 584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266 859 </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květen</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155 454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181 492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204 973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209 713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165 877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208 172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245 687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256 637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256 841 </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červen</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166 863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183 863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213 139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219 216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186 489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224 436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246 487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263 302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257 172 </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červenec</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138 946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160 955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197 792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206 496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172 105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200 105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220 305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244 508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255 156 </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srpen</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150 101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166 267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194 077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173 685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159 459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197 547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220 133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238 387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243 501 </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září</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169 399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189 201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212 951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223 208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196 834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234 511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256 013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257 989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281 572 </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říjen</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170 495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209 835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243 523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218 585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197 634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234 435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262 382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286 439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298 185 </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listopad</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181 872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210 727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237 332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194 914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196 945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241 852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266 467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277 243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298 200 </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prosinec</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150 355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169 430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177 124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157 239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164 786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207 614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227 056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211 183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249 918 </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1.</w:t>
            </w:r>
            <w:r w:rsidR="00707405">
              <w:rPr>
                <w:rFonts w:ascii="Arial" w:eastAsia="Times New Roman" w:hAnsi="Arial" w:cs="Arial"/>
                <w:color w:val="292929"/>
                <w:sz w:val="16"/>
                <w:szCs w:val="16"/>
                <w:lang w:eastAsia="cs-CZ"/>
              </w:rPr>
              <w:t xml:space="preserve"> </w:t>
            </w:r>
            <w:r w:rsidRPr="0034339F">
              <w:rPr>
                <w:rFonts w:ascii="Arial" w:eastAsia="Times New Roman" w:hAnsi="Arial" w:cs="Arial"/>
                <w:color w:val="292929"/>
                <w:sz w:val="16"/>
                <w:szCs w:val="16"/>
                <w:lang w:eastAsia="cs-CZ"/>
              </w:rPr>
              <w:t>čtvrtletí</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431 054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511 303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601 244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645 418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522 853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583 168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703 550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787 325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749 741 </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2.</w:t>
            </w:r>
            <w:r w:rsidR="00707405">
              <w:rPr>
                <w:rFonts w:ascii="Arial" w:eastAsia="Times New Roman" w:hAnsi="Arial" w:cs="Arial"/>
                <w:color w:val="292929"/>
                <w:sz w:val="16"/>
                <w:szCs w:val="16"/>
                <w:lang w:eastAsia="cs-CZ"/>
              </w:rPr>
              <w:t xml:space="preserve"> </w:t>
            </w:r>
            <w:r w:rsidRPr="0034339F">
              <w:rPr>
                <w:rFonts w:ascii="Arial" w:eastAsia="Times New Roman" w:hAnsi="Arial" w:cs="Arial"/>
                <w:color w:val="292929"/>
                <w:sz w:val="16"/>
                <w:szCs w:val="16"/>
                <w:lang w:eastAsia="cs-CZ"/>
              </w:rPr>
              <w:t>čtvrtletí</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476 364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526 855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615 191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654 191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528 007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633 564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722 784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769 523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780 873 </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3.</w:t>
            </w:r>
            <w:r w:rsidR="00707405">
              <w:rPr>
                <w:rFonts w:ascii="Arial" w:eastAsia="Times New Roman" w:hAnsi="Arial" w:cs="Arial"/>
                <w:color w:val="292929"/>
                <w:sz w:val="16"/>
                <w:szCs w:val="16"/>
                <w:lang w:eastAsia="cs-CZ"/>
              </w:rPr>
              <w:t xml:space="preserve"> </w:t>
            </w:r>
            <w:r w:rsidRPr="0034339F">
              <w:rPr>
                <w:rFonts w:ascii="Arial" w:eastAsia="Times New Roman" w:hAnsi="Arial" w:cs="Arial"/>
                <w:color w:val="292929"/>
                <w:sz w:val="16"/>
                <w:szCs w:val="16"/>
                <w:lang w:eastAsia="cs-CZ"/>
              </w:rPr>
              <w:t>čtvrtletí</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458 446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516 423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604 820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603 389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528 398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632 163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696 451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740 884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780 228 </w:t>
            </w:r>
          </w:p>
        </w:tc>
      </w:tr>
      <w:tr w:rsidR="00E371CF" w:rsidRPr="0034339F" w:rsidTr="00B51A7C">
        <w:trPr>
          <w:trHeight w:val="240"/>
        </w:trPr>
        <w:tc>
          <w:tcPr>
            <w:tcW w:w="543" w:type="pct"/>
            <w:shd w:val="clear" w:color="000000" w:fill="FFFFFF"/>
            <w:vAlign w:val="center"/>
            <w:hideMark/>
          </w:tcPr>
          <w:p w:rsidR="00E371CF" w:rsidRPr="0034339F" w:rsidRDefault="00E371CF" w:rsidP="00707405">
            <w:pPr>
              <w:spacing w:after="0" w:line="240" w:lineRule="auto"/>
              <w:jc w:val="both"/>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4.</w:t>
            </w:r>
            <w:r w:rsidR="00707405">
              <w:rPr>
                <w:rFonts w:ascii="Arial" w:eastAsia="Times New Roman" w:hAnsi="Arial" w:cs="Arial"/>
                <w:color w:val="292929"/>
                <w:sz w:val="16"/>
                <w:szCs w:val="16"/>
                <w:lang w:eastAsia="cs-CZ"/>
              </w:rPr>
              <w:t xml:space="preserve"> </w:t>
            </w:r>
            <w:r w:rsidRPr="0034339F">
              <w:rPr>
                <w:rFonts w:ascii="Arial" w:eastAsia="Times New Roman" w:hAnsi="Arial" w:cs="Arial"/>
                <w:color w:val="292929"/>
                <w:sz w:val="16"/>
                <w:szCs w:val="16"/>
                <w:lang w:eastAsia="cs-CZ"/>
              </w:rPr>
              <w:t>čtvrtletí</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502 722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589 992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657 979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570 738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559 365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683 902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755 905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774 866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846 304 </w:t>
            </w:r>
          </w:p>
        </w:tc>
      </w:tr>
      <w:tr w:rsidR="00E371CF" w:rsidRPr="0034339F" w:rsidTr="00B51A7C">
        <w:trPr>
          <w:trHeight w:val="240"/>
        </w:trPr>
        <w:tc>
          <w:tcPr>
            <w:tcW w:w="543" w:type="pct"/>
            <w:shd w:val="clear" w:color="000000" w:fill="FFFFFF"/>
            <w:vAlign w:val="center"/>
            <w:hideMark/>
          </w:tcPr>
          <w:p w:rsidR="00E371CF" w:rsidRPr="0034339F" w:rsidRDefault="00E371CF" w:rsidP="0034339F">
            <w:pPr>
              <w:spacing w:after="0" w:line="240" w:lineRule="auto"/>
              <w:ind w:firstLineChars="100" w:firstLine="160"/>
              <w:rPr>
                <w:rFonts w:ascii="Arial" w:eastAsia="Times New Roman" w:hAnsi="Arial" w:cs="Arial"/>
                <w:color w:val="292929"/>
                <w:sz w:val="16"/>
                <w:szCs w:val="16"/>
                <w:lang w:eastAsia="cs-CZ"/>
              </w:rPr>
            </w:pPr>
            <w:r w:rsidRPr="0034339F">
              <w:rPr>
                <w:rFonts w:ascii="Arial" w:eastAsia="Times New Roman" w:hAnsi="Arial" w:cs="Arial"/>
                <w:color w:val="292929"/>
                <w:sz w:val="16"/>
                <w:szCs w:val="16"/>
                <w:lang w:eastAsia="cs-CZ"/>
              </w:rPr>
              <w:t>rok</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1 868 586 </w:t>
            </w:r>
          </w:p>
        </w:tc>
        <w:tc>
          <w:tcPr>
            <w:tcW w:w="426"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2 144 573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2 479 234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2 473 736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2 138 623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2 532 797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2 878 691 </w:t>
            </w:r>
          </w:p>
        </w:tc>
        <w:tc>
          <w:tcPr>
            <w:tcW w:w="504"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3 072 598 </w:t>
            </w:r>
          </w:p>
        </w:tc>
        <w:tc>
          <w:tcPr>
            <w:tcW w:w="502" w:type="pct"/>
            <w:shd w:val="clear" w:color="auto" w:fill="auto"/>
            <w:noWrap/>
            <w:vAlign w:val="center"/>
            <w:hideMark/>
          </w:tcPr>
          <w:p w:rsidR="00E371CF" w:rsidRPr="0034339F" w:rsidRDefault="00E371CF" w:rsidP="00707405">
            <w:pPr>
              <w:spacing w:after="0" w:line="240" w:lineRule="auto"/>
              <w:jc w:val="right"/>
              <w:rPr>
                <w:rFonts w:ascii="Arial" w:eastAsia="Times New Roman" w:hAnsi="Arial" w:cs="Arial"/>
                <w:color w:val="1C1C1C"/>
                <w:sz w:val="16"/>
                <w:szCs w:val="16"/>
                <w:lang w:eastAsia="cs-CZ"/>
              </w:rPr>
            </w:pPr>
            <w:r w:rsidRPr="0034339F">
              <w:rPr>
                <w:rFonts w:ascii="Arial" w:eastAsia="Times New Roman" w:hAnsi="Arial" w:cs="Arial"/>
                <w:color w:val="1C1C1C"/>
                <w:sz w:val="16"/>
                <w:szCs w:val="16"/>
                <w:lang w:eastAsia="cs-CZ"/>
              </w:rPr>
              <w:t xml:space="preserve">3 157 146 </w:t>
            </w:r>
          </w:p>
        </w:tc>
      </w:tr>
    </w:tbl>
    <w:p w:rsidR="004951A5" w:rsidRDefault="004951A5">
      <w:r>
        <w:t>Údaje jsou v</w:t>
      </w:r>
      <w:r w:rsidRPr="004951A5">
        <w:t xml:space="preserve"> mil</w:t>
      </w:r>
      <w:r>
        <w:t>ionech</w:t>
      </w:r>
      <w:r w:rsidRPr="004951A5">
        <w:t xml:space="preserve"> Kč FOB/</w:t>
      </w:r>
      <w:proofErr w:type="spellStart"/>
      <w:r w:rsidRPr="004951A5">
        <w:t>CIF</w:t>
      </w:r>
      <w:proofErr w:type="spellEnd"/>
      <w:r w:rsidRPr="004951A5">
        <w:t xml:space="preserve"> (běžné ceny)</w:t>
      </w:r>
    </w:p>
    <w:p w:rsidR="00B51A7C" w:rsidRDefault="004951A5">
      <w:r>
        <w:t>Jak vidíme z</w:t>
      </w:r>
      <w:r w:rsidR="00900489">
        <w:t xml:space="preserve"> předchozí </w:t>
      </w:r>
      <w:r>
        <w:t>tabulky, export České republiky dosahuje více tří bilionů korun, pokud to porovnáme s celkovým hrubým domácím produktem země (v roce 2013 dosáhl asi 3,9 bilionu korun), pak export dosahuje hodnoty</w:t>
      </w:r>
      <w:r w:rsidR="00A50EC3">
        <w:t xml:space="preserve"> </w:t>
      </w:r>
      <w:r>
        <w:t xml:space="preserve">asi 80 </w:t>
      </w:r>
      <w:r w:rsidR="00A50EC3">
        <w:t xml:space="preserve">až 81 </w:t>
      </w:r>
      <w:r>
        <w:t>procent celku hrubého domácího produktu.</w:t>
      </w:r>
    </w:p>
    <w:p w:rsidR="00605F5B" w:rsidRPr="00605F5B" w:rsidRDefault="00605F5B">
      <w:pPr>
        <w:rPr>
          <w:b/>
        </w:rPr>
      </w:pPr>
      <w:r>
        <w:rPr>
          <w:b/>
        </w:rPr>
        <w:lastRenderedPageBreak/>
        <w:t>Tabulka 2: Export prosinec 2013 – největší odběratelé</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458"/>
        <w:gridCol w:w="2589"/>
        <w:gridCol w:w="1419"/>
        <w:gridCol w:w="1417"/>
        <w:gridCol w:w="1842"/>
        <w:gridCol w:w="1487"/>
      </w:tblGrid>
      <w:tr w:rsidR="00A50EC3" w:rsidRPr="00A50EC3" w:rsidTr="00B51A7C">
        <w:trPr>
          <w:trHeight w:val="720"/>
        </w:trPr>
        <w:tc>
          <w:tcPr>
            <w:tcW w:w="1654" w:type="pct"/>
            <w:gridSpan w:val="2"/>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b/>
                <w:bCs/>
                <w:color w:val="292929"/>
                <w:sz w:val="16"/>
                <w:szCs w:val="16"/>
                <w:lang w:eastAsia="cs-CZ"/>
              </w:rPr>
            </w:pPr>
            <w:r w:rsidRPr="00A50EC3">
              <w:rPr>
                <w:rFonts w:ascii="Arial" w:eastAsia="Times New Roman" w:hAnsi="Arial" w:cs="Arial"/>
                <w:b/>
                <w:bCs/>
                <w:color w:val="292929"/>
                <w:sz w:val="16"/>
                <w:szCs w:val="16"/>
                <w:lang w:eastAsia="cs-CZ"/>
              </w:rPr>
              <w:t>Stát</w:t>
            </w:r>
          </w:p>
        </w:tc>
        <w:tc>
          <w:tcPr>
            <w:tcW w:w="770"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b/>
                <w:bCs/>
                <w:color w:val="292929"/>
                <w:sz w:val="16"/>
                <w:szCs w:val="16"/>
                <w:lang w:eastAsia="cs-CZ"/>
              </w:rPr>
            </w:pPr>
            <w:r>
              <w:rPr>
                <w:rFonts w:ascii="Arial" w:eastAsia="Times New Roman" w:hAnsi="Arial" w:cs="Arial"/>
                <w:b/>
                <w:bCs/>
                <w:color w:val="292929"/>
                <w:sz w:val="16"/>
                <w:szCs w:val="16"/>
                <w:lang w:eastAsia="cs-CZ"/>
              </w:rPr>
              <w:t>Prosinec</w:t>
            </w:r>
            <w:r w:rsidRPr="00A50EC3">
              <w:rPr>
                <w:rFonts w:ascii="Arial" w:eastAsia="Times New Roman" w:hAnsi="Arial" w:cs="Arial"/>
                <w:b/>
                <w:bCs/>
                <w:color w:val="292929"/>
                <w:sz w:val="16"/>
                <w:szCs w:val="16"/>
                <w:lang w:eastAsia="cs-CZ"/>
              </w:rPr>
              <w:br/>
              <w:t>2013</w:t>
            </w:r>
          </w:p>
        </w:tc>
        <w:tc>
          <w:tcPr>
            <w:tcW w:w="76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b/>
                <w:bCs/>
                <w:color w:val="292929"/>
                <w:sz w:val="16"/>
                <w:szCs w:val="16"/>
                <w:lang w:eastAsia="cs-CZ"/>
              </w:rPr>
            </w:pPr>
            <w:r w:rsidRPr="00A50EC3">
              <w:rPr>
                <w:rFonts w:ascii="Arial" w:eastAsia="Times New Roman" w:hAnsi="Arial" w:cs="Arial"/>
                <w:b/>
                <w:bCs/>
                <w:color w:val="292929"/>
                <w:sz w:val="16"/>
                <w:szCs w:val="16"/>
                <w:lang w:eastAsia="cs-CZ"/>
              </w:rPr>
              <w:t xml:space="preserve">Index </w:t>
            </w:r>
            <w:r w:rsidRPr="00A50EC3">
              <w:rPr>
                <w:rFonts w:ascii="Arial" w:eastAsia="Times New Roman" w:hAnsi="Arial" w:cs="Arial"/>
                <w:b/>
                <w:bCs/>
                <w:color w:val="292929"/>
                <w:sz w:val="16"/>
                <w:szCs w:val="16"/>
                <w:vertAlign w:val="superscript"/>
                <w:lang w:eastAsia="cs-CZ"/>
              </w:rPr>
              <w:t>1)</w:t>
            </w:r>
          </w:p>
        </w:tc>
        <w:tc>
          <w:tcPr>
            <w:tcW w:w="1000"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b/>
                <w:bCs/>
                <w:color w:val="292929"/>
                <w:sz w:val="16"/>
                <w:szCs w:val="16"/>
                <w:lang w:eastAsia="cs-CZ"/>
              </w:rPr>
            </w:pPr>
            <w:r>
              <w:rPr>
                <w:rFonts w:ascii="Arial" w:eastAsia="Times New Roman" w:hAnsi="Arial" w:cs="Arial"/>
                <w:b/>
                <w:bCs/>
                <w:color w:val="292929"/>
                <w:sz w:val="16"/>
                <w:szCs w:val="16"/>
                <w:lang w:eastAsia="cs-CZ"/>
              </w:rPr>
              <w:t>Meziroční změna</w:t>
            </w:r>
          </w:p>
        </w:tc>
        <w:tc>
          <w:tcPr>
            <w:tcW w:w="807"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b/>
                <w:bCs/>
                <w:color w:val="292929"/>
                <w:sz w:val="16"/>
                <w:szCs w:val="16"/>
                <w:lang w:eastAsia="cs-CZ"/>
              </w:rPr>
            </w:pPr>
            <w:r>
              <w:rPr>
                <w:rFonts w:ascii="Arial" w:eastAsia="Times New Roman" w:hAnsi="Arial" w:cs="Arial"/>
                <w:b/>
                <w:bCs/>
                <w:color w:val="292929"/>
                <w:sz w:val="16"/>
                <w:szCs w:val="16"/>
                <w:lang w:eastAsia="cs-CZ"/>
              </w:rPr>
              <w:t>Podíl v %</w:t>
            </w:r>
          </w:p>
        </w:tc>
      </w:tr>
      <w:tr w:rsidR="00A50EC3" w:rsidRPr="00A50EC3" w:rsidTr="00B51A7C">
        <w:trPr>
          <w:trHeight w:val="259"/>
        </w:trPr>
        <w:tc>
          <w:tcPr>
            <w:tcW w:w="249" w:type="pct"/>
            <w:shd w:val="clear" w:color="auto" w:fill="auto"/>
            <w:noWrap/>
            <w:vAlign w:val="center"/>
            <w:hideMark/>
          </w:tcPr>
          <w:p w:rsidR="00A50EC3" w:rsidRPr="00A50EC3" w:rsidRDefault="00A50EC3" w:rsidP="00A50EC3">
            <w:pPr>
              <w:spacing w:after="0" w:line="240" w:lineRule="auto"/>
              <w:rPr>
                <w:rFonts w:ascii="Arial" w:eastAsia="Times New Roman" w:hAnsi="Arial" w:cs="Arial"/>
                <w:color w:val="292929"/>
                <w:sz w:val="18"/>
                <w:szCs w:val="18"/>
                <w:lang w:eastAsia="cs-CZ"/>
              </w:rPr>
            </w:pPr>
            <w:r w:rsidRPr="00A50EC3">
              <w:rPr>
                <w:rFonts w:ascii="Arial" w:eastAsia="Times New Roman" w:hAnsi="Arial" w:cs="Arial"/>
                <w:color w:val="292929"/>
                <w:sz w:val="18"/>
                <w:szCs w:val="18"/>
                <w:lang w:eastAsia="cs-CZ"/>
              </w:rPr>
              <w:t> </w:t>
            </w:r>
          </w:p>
        </w:tc>
        <w:tc>
          <w:tcPr>
            <w:tcW w:w="1405" w:type="pct"/>
            <w:shd w:val="clear" w:color="000000" w:fill="FFFFFF"/>
            <w:vAlign w:val="center"/>
            <w:hideMark/>
          </w:tcPr>
          <w:p w:rsidR="00A50EC3" w:rsidRPr="00A50EC3" w:rsidRDefault="00A50EC3" w:rsidP="00A50EC3">
            <w:pPr>
              <w:spacing w:after="0" w:line="240" w:lineRule="auto"/>
              <w:rPr>
                <w:rFonts w:ascii="Arial" w:eastAsia="Times New Roman" w:hAnsi="Arial" w:cs="Arial"/>
                <w:b/>
                <w:bCs/>
                <w:color w:val="292929"/>
                <w:sz w:val="16"/>
                <w:szCs w:val="16"/>
                <w:lang w:eastAsia="cs-CZ"/>
              </w:rPr>
            </w:pPr>
            <w:r>
              <w:rPr>
                <w:rFonts w:ascii="Arial" w:eastAsia="Times New Roman" w:hAnsi="Arial" w:cs="Arial"/>
                <w:b/>
                <w:bCs/>
                <w:color w:val="292929"/>
                <w:sz w:val="16"/>
                <w:szCs w:val="16"/>
                <w:lang w:eastAsia="cs-CZ"/>
              </w:rPr>
              <w:t xml:space="preserve">    </w:t>
            </w:r>
            <w:r w:rsidRPr="00A50EC3">
              <w:rPr>
                <w:rFonts w:ascii="Arial" w:eastAsia="Times New Roman" w:hAnsi="Arial" w:cs="Arial"/>
                <w:b/>
                <w:bCs/>
                <w:color w:val="292929"/>
                <w:sz w:val="16"/>
                <w:szCs w:val="16"/>
                <w:lang w:eastAsia="cs-CZ"/>
              </w:rPr>
              <w:t>Vývoz celkem</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249 918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118,3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38 735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100,0 </w:t>
            </w:r>
          </w:p>
        </w:tc>
      </w:tr>
      <w:tr w:rsidR="00A50EC3" w:rsidRPr="00A50EC3" w:rsidTr="00B51A7C">
        <w:trPr>
          <w:trHeight w:val="282"/>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1.</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Německo</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75 802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121,1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13 217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30,3 </w:t>
            </w:r>
          </w:p>
        </w:tc>
      </w:tr>
      <w:tr w:rsidR="00A50EC3" w:rsidRPr="00A50EC3" w:rsidTr="00B51A7C">
        <w:trPr>
          <w:trHeight w:val="240"/>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2.</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Slovensko</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23 585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117,6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3 536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9,4 </w:t>
            </w:r>
          </w:p>
        </w:tc>
      </w:tr>
      <w:tr w:rsidR="00A50EC3" w:rsidRPr="00A50EC3" w:rsidTr="00B51A7C">
        <w:trPr>
          <w:trHeight w:val="240"/>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3.</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Polsko</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14 482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111,3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1 470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5,8 </w:t>
            </w:r>
          </w:p>
        </w:tc>
      </w:tr>
      <w:tr w:rsidR="00A50EC3" w:rsidRPr="00A50EC3" w:rsidTr="00B51A7C">
        <w:trPr>
          <w:trHeight w:val="240"/>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4.</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Francie</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12 152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122,7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2 249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4,9 </w:t>
            </w:r>
          </w:p>
        </w:tc>
      </w:tr>
      <w:tr w:rsidR="00A50EC3" w:rsidRPr="00A50EC3" w:rsidTr="00B51A7C">
        <w:trPr>
          <w:trHeight w:val="240"/>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5.</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Spojené království</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10 473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105,3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524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4,2 </w:t>
            </w:r>
          </w:p>
        </w:tc>
      </w:tr>
      <w:tr w:rsidR="00A50EC3" w:rsidRPr="00A50EC3" w:rsidTr="00B51A7C">
        <w:trPr>
          <w:trHeight w:val="240"/>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6.</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Rakousko</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10 468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110,8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1 018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4,2 </w:t>
            </w:r>
          </w:p>
        </w:tc>
      </w:tr>
      <w:tr w:rsidR="00A50EC3" w:rsidRPr="00A50EC3" w:rsidTr="00B51A7C">
        <w:trPr>
          <w:trHeight w:val="240"/>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7.</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Itálie</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8 414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117,6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1 258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3,4 </w:t>
            </w:r>
          </w:p>
        </w:tc>
      </w:tr>
      <w:tr w:rsidR="00A50EC3" w:rsidRPr="00A50EC3" w:rsidTr="00B51A7C">
        <w:trPr>
          <w:trHeight w:val="240"/>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8.</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Ruská federace</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8 240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101,9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157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3,3 </w:t>
            </w:r>
          </w:p>
        </w:tc>
      </w:tr>
      <w:tr w:rsidR="00A50EC3" w:rsidRPr="00A50EC3" w:rsidTr="00B51A7C">
        <w:trPr>
          <w:trHeight w:val="240"/>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9.</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Nizozemsko</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7 830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111,6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813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3,1 </w:t>
            </w:r>
          </w:p>
        </w:tc>
      </w:tr>
      <w:tr w:rsidR="00A50EC3" w:rsidRPr="00A50EC3" w:rsidTr="00B51A7C">
        <w:trPr>
          <w:trHeight w:val="240"/>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10.</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Maďarsko</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6 580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129,1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1 485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2,6 </w:t>
            </w:r>
          </w:p>
        </w:tc>
      </w:tr>
      <w:tr w:rsidR="00A50EC3" w:rsidRPr="00A50EC3" w:rsidTr="00B51A7C">
        <w:trPr>
          <w:trHeight w:val="240"/>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11.</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Belgie</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6 388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127,7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1 386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2,6 </w:t>
            </w:r>
          </w:p>
        </w:tc>
      </w:tr>
      <w:tr w:rsidR="00A50EC3" w:rsidRPr="00A50EC3" w:rsidTr="00B51A7C">
        <w:trPr>
          <w:trHeight w:val="240"/>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12.</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Spojené státy</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5 855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119,1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938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2,3 </w:t>
            </w:r>
          </w:p>
        </w:tc>
      </w:tr>
      <w:tr w:rsidR="00A50EC3" w:rsidRPr="00A50EC3" w:rsidTr="00B51A7C">
        <w:trPr>
          <w:trHeight w:val="240"/>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13.</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Španělsko</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4 997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139,1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1 405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2,0 </w:t>
            </w:r>
          </w:p>
        </w:tc>
      </w:tr>
      <w:tr w:rsidR="00A50EC3" w:rsidRPr="00A50EC3" w:rsidTr="00B51A7C">
        <w:trPr>
          <w:trHeight w:val="240"/>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14.</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Švýcarsko</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4 102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132,2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998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1,6 </w:t>
            </w:r>
          </w:p>
        </w:tc>
      </w:tr>
      <w:tr w:rsidR="00A50EC3" w:rsidRPr="00A50EC3" w:rsidTr="00B51A7C">
        <w:trPr>
          <w:trHeight w:val="240"/>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15.</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Švédsko</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3 667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127,8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798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1,5 </w:t>
            </w:r>
          </w:p>
        </w:tc>
      </w:tr>
      <w:tr w:rsidR="00A50EC3" w:rsidRPr="00A50EC3" w:rsidTr="00B51A7C">
        <w:trPr>
          <w:trHeight w:val="240"/>
        </w:trPr>
        <w:tc>
          <w:tcPr>
            <w:tcW w:w="249" w:type="pct"/>
            <w:shd w:val="clear" w:color="000000" w:fill="FFFFFF"/>
            <w:vAlign w:val="center"/>
            <w:hideMark/>
          </w:tcPr>
          <w:p w:rsidR="00A50EC3" w:rsidRPr="00A50EC3" w:rsidRDefault="00A50EC3" w:rsidP="00A50EC3">
            <w:pPr>
              <w:spacing w:after="0" w:line="240" w:lineRule="auto"/>
              <w:jc w:val="center"/>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16.</w:t>
            </w:r>
          </w:p>
        </w:tc>
        <w:tc>
          <w:tcPr>
            <w:tcW w:w="1405" w:type="pct"/>
            <w:shd w:val="clear" w:color="000000" w:fill="FFFFFF"/>
            <w:vAlign w:val="center"/>
            <w:hideMark/>
          </w:tcPr>
          <w:p w:rsidR="00A50EC3" w:rsidRPr="00A50EC3" w:rsidRDefault="00A50EC3" w:rsidP="00A50EC3">
            <w:pPr>
              <w:spacing w:after="0" w:line="240" w:lineRule="auto"/>
              <w:ind w:firstLineChars="100" w:firstLine="160"/>
              <w:rPr>
                <w:rFonts w:ascii="Arial" w:eastAsia="Times New Roman" w:hAnsi="Arial" w:cs="Arial"/>
                <w:color w:val="292929"/>
                <w:sz w:val="16"/>
                <w:szCs w:val="16"/>
                <w:lang w:eastAsia="cs-CZ"/>
              </w:rPr>
            </w:pPr>
            <w:r w:rsidRPr="00A50EC3">
              <w:rPr>
                <w:rFonts w:ascii="Arial" w:eastAsia="Times New Roman" w:hAnsi="Arial" w:cs="Arial"/>
                <w:color w:val="292929"/>
                <w:sz w:val="16"/>
                <w:szCs w:val="16"/>
                <w:lang w:eastAsia="cs-CZ"/>
              </w:rPr>
              <w:t>Dánsko</w:t>
            </w:r>
          </w:p>
        </w:tc>
        <w:tc>
          <w:tcPr>
            <w:tcW w:w="77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3 290 </w:t>
            </w:r>
          </w:p>
        </w:tc>
        <w:tc>
          <w:tcPr>
            <w:tcW w:w="769"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209,8 </w:t>
            </w:r>
          </w:p>
        </w:tc>
        <w:tc>
          <w:tcPr>
            <w:tcW w:w="1000"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1 722 </w:t>
            </w:r>
          </w:p>
        </w:tc>
        <w:tc>
          <w:tcPr>
            <w:tcW w:w="807" w:type="pct"/>
            <w:shd w:val="clear" w:color="auto" w:fill="auto"/>
            <w:noWrap/>
            <w:vAlign w:val="center"/>
            <w:hideMark/>
          </w:tcPr>
          <w:p w:rsidR="00A50EC3" w:rsidRPr="00A50EC3" w:rsidRDefault="00A50EC3" w:rsidP="00A50EC3">
            <w:pPr>
              <w:spacing w:after="0" w:line="240" w:lineRule="auto"/>
              <w:jc w:val="right"/>
              <w:rPr>
                <w:rFonts w:ascii="Arial" w:eastAsia="Times New Roman" w:hAnsi="Arial" w:cs="Arial"/>
                <w:sz w:val="16"/>
                <w:szCs w:val="16"/>
                <w:lang w:eastAsia="cs-CZ"/>
              </w:rPr>
            </w:pPr>
            <w:r w:rsidRPr="00A50EC3">
              <w:rPr>
                <w:rFonts w:ascii="Arial" w:eastAsia="Times New Roman" w:hAnsi="Arial" w:cs="Arial"/>
                <w:sz w:val="16"/>
                <w:szCs w:val="16"/>
                <w:lang w:eastAsia="cs-CZ"/>
              </w:rPr>
              <w:t xml:space="preserve">1,3 </w:t>
            </w:r>
          </w:p>
        </w:tc>
      </w:tr>
    </w:tbl>
    <w:p w:rsidR="00A50EC3" w:rsidRDefault="00A50EC3" w:rsidP="00A50EC3">
      <w:r>
        <w:t>Údaje jsou v</w:t>
      </w:r>
      <w:r w:rsidRPr="004951A5">
        <w:t xml:space="preserve"> mil</w:t>
      </w:r>
      <w:r>
        <w:t>ionech</w:t>
      </w:r>
      <w:r w:rsidRPr="004951A5">
        <w:t xml:space="preserve"> Kč FOB/</w:t>
      </w:r>
      <w:proofErr w:type="spellStart"/>
      <w:r w:rsidRPr="004951A5">
        <w:t>CIF</w:t>
      </w:r>
      <w:proofErr w:type="spellEnd"/>
      <w:r w:rsidRPr="004951A5">
        <w:t xml:space="preserve"> (běžné ceny)</w:t>
      </w:r>
    </w:p>
    <w:p w:rsidR="00A50EC3" w:rsidRDefault="00B51A7C">
      <w:r>
        <w:t xml:space="preserve">Jak je vidět dále, mezi nejvýznamnějšími partnery České republiky například v prosinci 2013 nebyla ani jedna mimoevropská země </w:t>
      </w:r>
      <w:r w:rsidR="008A5000">
        <w:t xml:space="preserve">(s výjimkou Spojených </w:t>
      </w:r>
      <w:proofErr w:type="gramStart"/>
      <w:r w:rsidR="008A5000">
        <w:t xml:space="preserve">států) </w:t>
      </w:r>
      <w:r w:rsidR="00AE5291">
        <w:t xml:space="preserve"> m</w:t>
      </w:r>
      <w:r>
        <w:t>– pokud</w:t>
      </w:r>
      <w:proofErr w:type="gramEnd"/>
      <w:r>
        <w:t xml:space="preserve"> hovoříme o českém exportu, nikoliv o celkové obchodní bilanci, tedy o obratu zahraničního obchodu. Ve skutečnosti můžeme jít ještě dále a říci, že v roce 2012 byl podíl sousedních zemí (Německo, Polsko, Slovensko a Rakousko) na českém vývozu dokonce 51,2 procenta, v roce 2013 se tento podíl velmi mírně snížil na 50,7 procenta. Bohužel nejsou k dispozici detailnější údaje o tom, jaký je podíl malých a středních firem na zahraničním obchodě, zvláště pak na obchodě s nejbližšími sousedy, pokud je ale známo, tak tyto nejvíce zranitelné obchodní společnosti exportují do vzdálenějších zemí spíše výjimečně. Z tohoto důvodu jsou tedy nejpotřebnější právě informace o insolvenčních řízeních a jejich zvláštnostech především ve výše jmenovaných čtyřech státech.</w:t>
      </w:r>
    </w:p>
    <w:p w:rsidR="00CF06DA" w:rsidRDefault="0026493F">
      <w:r>
        <w:t xml:space="preserve">Pokud se velmi často hovoří o velkých obchodních příležitostech například v Číně nebo v dalších rychle se rozvíjejících zemích, pak </w:t>
      </w:r>
      <w:r w:rsidR="003463B1">
        <w:t>je vhodné podívat se na skutečnou situaci v obchodním obratu s těmito státy. Ve skutečnosti ale export do Číny představoval v roce 2013 pouhých 1,2 procenta z celkového exportu celé České republiky (šlo o zhruba zboží za 37 miliard korun). Faktem je, že zatímco dynamika růstu vývozu do většiny vyspělých států byla poměrně nízká (na poměry české ekonomiky), export do Číny se zvýšil meziročně o téměř 15 procent. Ve skutečnosti byl ale tento obchod uskutečněn v podstatě pouze velkými společnostmi a ve významné míře s podporou vládních institucí, díky kterému bylo výrazně sníženo riziko insolvence u obchodních partnerů.</w:t>
      </w:r>
    </w:p>
    <w:p w:rsidR="00CF06DA" w:rsidRDefault="003463B1">
      <w:r>
        <w:t xml:space="preserve">Vztahy s Ruskem jsou v tomto smyslu slova </w:t>
      </w:r>
      <w:r w:rsidR="008A5000">
        <w:t xml:space="preserve">daleko </w:t>
      </w:r>
      <w:r>
        <w:t>podstatnější, neboť za prvé s objemem více než 116 miliard korun vývozu (rok 2013) přece jenom představují alespoň 3,7 procenta celkového exportu, ale také jsou v daleko větší míře uskutečňovány na základě standardních ekonomických vztahů dvou nebo většího množství obchodních společností. Obchod je tedy z menší míry kryt státními zárukami, tedy je podstatně rizikovější.</w:t>
      </w:r>
      <w:r w:rsidR="008A5000">
        <w:t xml:space="preserve"> Navíc, jak plyne z předchozí tabulky, bylo například v prosinci 2013 Rusko osmým největším odběrate</w:t>
      </w:r>
      <w:r w:rsidR="00605F5B">
        <w:t xml:space="preserve">lem českých produktů a služeb. </w:t>
      </w:r>
    </w:p>
    <w:p w:rsidR="00605F5B" w:rsidRPr="00605F5B" w:rsidRDefault="00605F5B">
      <w:pPr>
        <w:rPr>
          <w:b/>
        </w:rPr>
      </w:pPr>
      <w:r>
        <w:rPr>
          <w:b/>
        </w:rPr>
        <w:lastRenderedPageBreak/>
        <w:t>Tabulka 3: Export 2012 a 20</w:t>
      </w:r>
      <w:bookmarkStart w:id="0" w:name="_GoBack"/>
      <w:bookmarkEnd w:id="0"/>
      <w:r>
        <w:rPr>
          <w:b/>
        </w:rPr>
        <w:t>13 podle regionů a vybraných zemí</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079"/>
        <w:gridCol w:w="1224"/>
        <w:gridCol w:w="993"/>
        <w:gridCol w:w="1350"/>
        <w:gridCol w:w="1223"/>
        <w:gridCol w:w="993"/>
        <w:gridCol w:w="1350"/>
      </w:tblGrid>
      <w:tr w:rsidR="008B1A23" w:rsidRPr="00CF06DA" w:rsidTr="008B1A23">
        <w:trPr>
          <w:trHeight w:val="360"/>
        </w:trPr>
        <w:tc>
          <w:tcPr>
            <w:tcW w:w="1128" w:type="pct"/>
            <w:vMerge w:val="restart"/>
          </w:tcPr>
          <w:p w:rsidR="008B1A23" w:rsidRPr="00CF06DA" w:rsidRDefault="008B1A23" w:rsidP="00CF06DA">
            <w:pPr>
              <w:spacing w:after="0" w:line="240" w:lineRule="auto"/>
              <w:jc w:val="center"/>
              <w:rPr>
                <w:rFonts w:ascii="Arial" w:eastAsia="Times New Roman" w:hAnsi="Arial" w:cs="Arial"/>
                <w:b/>
                <w:bCs/>
                <w:sz w:val="16"/>
                <w:szCs w:val="16"/>
                <w:lang w:eastAsia="cs-CZ"/>
              </w:rPr>
            </w:pPr>
          </w:p>
        </w:tc>
        <w:tc>
          <w:tcPr>
            <w:tcW w:w="1936" w:type="pct"/>
            <w:gridSpan w:val="3"/>
            <w:shd w:val="clear" w:color="auto" w:fill="auto"/>
            <w:noWrap/>
            <w:vAlign w:val="center"/>
            <w:hideMark/>
          </w:tcPr>
          <w:p w:rsidR="008B1A23" w:rsidRPr="00CF06DA" w:rsidRDefault="008B1A23" w:rsidP="00CF06DA">
            <w:pPr>
              <w:spacing w:after="0" w:line="240" w:lineRule="auto"/>
              <w:jc w:val="center"/>
              <w:rPr>
                <w:rFonts w:ascii="Arial" w:eastAsia="Times New Roman" w:hAnsi="Arial" w:cs="Arial"/>
                <w:b/>
                <w:bCs/>
                <w:sz w:val="16"/>
                <w:szCs w:val="16"/>
                <w:lang w:eastAsia="cs-CZ"/>
              </w:rPr>
            </w:pPr>
            <w:r w:rsidRPr="00CF06DA">
              <w:rPr>
                <w:rFonts w:ascii="Arial" w:eastAsia="Times New Roman" w:hAnsi="Arial" w:cs="Arial"/>
                <w:b/>
                <w:bCs/>
                <w:sz w:val="16"/>
                <w:szCs w:val="16"/>
                <w:lang w:eastAsia="cs-CZ"/>
              </w:rPr>
              <w:t>2012</w:t>
            </w:r>
          </w:p>
        </w:tc>
        <w:tc>
          <w:tcPr>
            <w:tcW w:w="1936" w:type="pct"/>
            <w:gridSpan w:val="3"/>
            <w:shd w:val="clear" w:color="auto" w:fill="auto"/>
            <w:noWrap/>
            <w:vAlign w:val="center"/>
            <w:hideMark/>
          </w:tcPr>
          <w:p w:rsidR="008B1A23" w:rsidRPr="00CF06DA" w:rsidRDefault="008B1A23" w:rsidP="00CF06DA">
            <w:pPr>
              <w:spacing w:after="0" w:line="240" w:lineRule="auto"/>
              <w:jc w:val="center"/>
              <w:rPr>
                <w:rFonts w:ascii="Arial" w:eastAsia="Times New Roman" w:hAnsi="Arial" w:cs="Arial"/>
                <w:b/>
                <w:bCs/>
                <w:sz w:val="16"/>
                <w:szCs w:val="16"/>
                <w:lang w:eastAsia="cs-CZ"/>
              </w:rPr>
            </w:pPr>
            <w:r w:rsidRPr="00CF06DA">
              <w:rPr>
                <w:rFonts w:ascii="Arial" w:eastAsia="Times New Roman" w:hAnsi="Arial" w:cs="Arial"/>
                <w:b/>
                <w:bCs/>
                <w:sz w:val="16"/>
                <w:szCs w:val="16"/>
                <w:lang w:eastAsia="cs-CZ"/>
              </w:rPr>
              <w:t>2013</w:t>
            </w:r>
          </w:p>
        </w:tc>
      </w:tr>
      <w:tr w:rsidR="008B1A23" w:rsidRPr="00CF06DA" w:rsidTr="008B1A23">
        <w:trPr>
          <w:trHeight w:val="480"/>
        </w:trPr>
        <w:tc>
          <w:tcPr>
            <w:tcW w:w="1128" w:type="pct"/>
            <w:vMerge/>
          </w:tcPr>
          <w:p w:rsidR="008B1A23" w:rsidRPr="00CF06DA" w:rsidRDefault="008B1A23" w:rsidP="00CF06DA">
            <w:pPr>
              <w:spacing w:after="0" w:line="240" w:lineRule="auto"/>
              <w:jc w:val="center"/>
              <w:rPr>
                <w:rFonts w:ascii="Arial" w:eastAsia="Times New Roman" w:hAnsi="Arial" w:cs="Arial"/>
                <w:b/>
                <w:bCs/>
                <w:sz w:val="16"/>
                <w:szCs w:val="16"/>
                <w:lang w:eastAsia="cs-CZ"/>
              </w:rPr>
            </w:pPr>
          </w:p>
        </w:tc>
        <w:tc>
          <w:tcPr>
            <w:tcW w:w="664" w:type="pct"/>
            <w:shd w:val="clear" w:color="auto" w:fill="auto"/>
            <w:vAlign w:val="center"/>
            <w:hideMark/>
          </w:tcPr>
          <w:p w:rsidR="008B1A23" w:rsidRPr="00CF06DA" w:rsidRDefault="008B1A23" w:rsidP="008B1A23">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mil. Kč</w:t>
            </w:r>
          </w:p>
        </w:tc>
        <w:tc>
          <w:tcPr>
            <w:tcW w:w="539" w:type="pct"/>
            <w:shd w:val="clear" w:color="auto" w:fill="auto"/>
            <w:vAlign w:val="center"/>
            <w:hideMark/>
          </w:tcPr>
          <w:p w:rsidR="008B1A23" w:rsidRPr="00CF06DA" w:rsidRDefault="008B1A23" w:rsidP="00CF06DA">
            <w:pPr>
              <w:spacing w:after="0" w:line="240" w:lineRule="auto"/>
              <w:jc w:val="center"/>
              <w:rPr>
                <w:rFonts w:ascii="Arial" w:eastAsia="Times New Roman" w:hAnsi="Arial" w:cs="Arial"/>
                <w:b/>
                <w:bCs/>
                <w:sz w:val="16"/>
                <w:szCs w:val="16"/>
                <w:lang w:eastAsia="cs-CZ"/>
              </w:rPr>
            </w:pPr>
            <w:r w:rsidRPr="00CF06DA">
              <w:rPr>
                <w:rFonts w:ascii="Arial" w:eastAsia="Times New Roman" w:hAnsi="Arial" w:cs="Arial"/>
                <w:b/>
                <w:bCs/>
                <w:sz w:val="16"/>
                <w:szCs w:val="16"/>
                <w:lang w:eastAsia="cs-CZ"/>
              </w:rPr>
              <w:t xml:space="preserve">index </w:t>
            </w:r>
            <w:r w:rsidRPr="00CF06DA">
              <w:rPr>
                <w:rFonts w:ascii="Arial" w:eastAsia="Times New Roman" w:hAnsi="Arial" w:cs="Arial"/>
                <w:b/>
                <w:bCs/>
                <w:sz w:val="16"/>
                <w:szCs w:val="16"/>
                <w:vertAlign w:val="superscript"/>
                <w:lang w:eastAsia="cs-CZ"/>
              </w:rPr>
              <w:t>1)</w:t>
            </w:r>
          </w:p>
        </w:tc>
        <w:tc>
          <w:tcPr>
            <w:tcW w:w="733" w:type="pct"/>
            <w:shd w:val="clear" w:color="auto" w:fill="auto"/>
            <w:vAlign w:val="center"/>
            <w:hideMark/>
          </w:tcPr>
          <w:p w:rsidR="008B1A23" w:rsidRPr="00CF06DA" w:rsidRDefault="008B1A23" w:rsidP="008B1A23">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podíl v %</w:t>
            </w:r>
          </w:p>
        </w:tc>
        <w:tc>
          <w:tcPr>
            <w:tcW w:w="664" w:type="pct"/>
            <w:shd w:val="clear" w:color="auto" w:fill="auto"/>
            <w:vAlign w:val="center"/>
            <w:hideMark/>
          </w:tcPr>
          <w:p w:rsidR="008B1A23" w:rsidRPr="00CF06DA" w:rsidRDefault="008B1A23" w:rsidP="008B1A23">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mil. Kč</w:t>
            </w:r>
          </w:p>
        </w:tc>
        <w:tc>
          <w:tcPr>
            <w:tcW w:w="539" w:type="pct"/>
            <w:shd w:val="clear" w:color="auto" w:fill="auto"/>
            <w:vAlign w:val="center"/>
            <w:hideMark/>
          </w:tcPr>
          <w:p w:rsidR="008B1A23" w:rsidRPr="00CF06DA" w:rsidRDefault="008B1A23" w:rsidP="00CF06DA">
            <w:pPr>
              <w:spacing w:after="0" w:line="240" w:lineRule="auto"/>
              <w:jc w:val="center"/>
              <w:rPr>
                <w:rFonts w:ascii="Arial" w:eastAsia="Times New Roman" w:hAnsi="Arial" w:cs="Arial"/>
                <w:b/>
                <w:bCs/>
                <w:sz w:val="16"/>
                <w:szCs w:val="16"/>
                <w:lang w:eastAsia="cs-CZ"/>
              </w:rPr>
            </w:pPr>
            <w:r w:rsidRPr="00CF06DA">
              <w:rPr>
                <w:rFonts w:ascii="Arial" w:eastAsia="Times New Roman" w:hAnsi="Arial" w:cs="Arial"/>
                <w:b/>
                <w:bCs/>
                <w:sz w:val="16"/>
                <w:szCs w:val="16"/>
                <w:lang w:eastAsia="cs-CZ"/>
              </w:rPr>
              <w:t xml:space="preserve">index </w:t>
            </w:r>
            <w:r w:rsidRPr="00CF06DA">
              <w:rPr>
                <w:rFonts w:ascii="Arial" w:eastAsia="Times New Roman" w:hAnsi="Arial" w:cs="Arial"/>
                <w:b/>
                <w:bCs/>
                <w:sz w:val="16"/>
                <w:szCs w:val="16"/>
                <w:vertAlign w:val="superscript"/>
                <w:lang w:eastAsia="cs-CZ"/>
              </w:rPr>
              <w:t>1)</w:t>
            </w:r>
          </w:p>
        </w:tc>
        <w:tc>
          <w:tcPr>
            <w:tcW w:w="733" w:type="pct"/>
            <w:shd w:val="clear" w:color="auto" w:fill="auto"/>
            <w:vAlign w:val="center"/>
            <w:hideMark/>
          </w:tcPr>
          <w:p w:rsidR="008B1A23" w:rsidRPr="00CF06DA" w:rsidRDefault="008B1A23" w:rsidP="008B1A23">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podíl v %</w:t>
            </w:r>
          </w:p>
        </w:tc>
      </w:tr>
      <w:tr w:rsidR="008B1A23" w:rsidRPr="00CF06DA" w:rsidTr="008B1A23">
        <w:trPr>
          <w:trHeight w:val="300"/>
        </w:trPr>
        <w:tc>
          <w:tcPr>
            <w:tcW w:w="1128" w:type="pct"/>
            <w:vAlign w:val="bottom"/>
          </w:tcPr>
          <w:p w:rsidR="00CF06DA" w:rsidRPr="00CF06DA" w:rsidRDefault="00CF06DA" w:rsidP="005F3ACF">
            <w:pPr>
              <w:spacing w:after="0" w:line="240" w:lineRule="auto"/>
              <w:rPr>
                <w:rFonts w:ascii="Arial" w:eastAsia="Times New Roman" w:hAnsi="Arial" w:cs="Arial"/>
                <w:b/>
                <w:bCs/>
                <w:sz w:val="16"/>
                <w:szCs w:val="16"/>
                <w:lang w:eastAsia="cs-CZ"/>
              </w:rPr>
            </w:pPr>
            <w:r w:rsidRPr="00CF06DA">
              <w:rPr>
                <w:rFonts w:ascii="Arial" w:eastAsia="Times New Roman" w:hAnsi="Arial" w:cs="Arial"/>
                <w:b/>
                <w:bCs/>
                <w:sz w:val="16"/>
                <w:szCs w:val="16"/>
                <w:lang w:eastAsia="cs-CZ"/>
              </w:rPr>
              <w:t>Vývoz celkem</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3 072 598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106,7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100,0 </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3 157 146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102,8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100,0 </w:t>
            </w:r>
          </w:p>
        </w:tc>
      </w:tr>
      <w:tr w:rsidR="008B1A23" w:rsidRPr="00CF06DA" w:rsidTr="008B1A23">
        <w:trPr>
          <w:trHeight w:val="240"/>
        </w:trPr>
        <w:tc>
          <w:tcPr>
            <w:tcW w:w="1128" w:type="pct"/>
            <w:vAlign w:val="bottom"/>
          </w:tcPr>
          <w:p w:rsidR="00CF06DA" w:rsidRPr="00CF06DA" w:rsidRDefault="00CF06DA" w:rsidP="005F3ACF">
            <w:pPr>
              <w:spacing w:after="0" w:line="240" w:lineRule="auto"/>
              <w:ind w:firstLineChars="100" w:firstLine="160"/>
              <w:rPr>
                <w:rFonts w:ascii="Arial" w:eastAsia="Times New Roman" w:hAnsi="Arial" w:cs="Arial"/>
                <w:sz w:val="16"/>
                <w:szCs w:val="16"/>
                <w:lang w:eastAsia="cs-CZ"/>
              </w:rPr>
            </w:pPr>
            <w:r w:rsidRPr="00CF06DA">
              <w:rPr>
                <w:rFonts w:ascii="Arial" w:eastAsia="Times New Roman" w:hAnsi="Arial" w:cs="Arial"/>
                <w:sz w:val="16"/>
                <w:szCs w:val="16"/>
                <w:lang w:eastAsia="cs-CZ"/>
              </w:rPr>
              <w:t>EU28</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2 495 734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104,1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81,2 </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2 556 192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102,4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81,0 </w:t>
            </w:r>
          </w:p>
        </w:tc>
      </w:tr>
      <w:tr w:rsidR="008B1A23" w:rsidRPr="00CF06DA" w:rsidTr="008B1A23">
        <w:trPr>
          <w:trHeight w:val="240"/>
        </w:trPr>
        <w:tc>
          <w:tcPr>
            <w:tcW w:w="1128" w:type="pct"/>
            <w:vAlign w:val="bottom"/>
          </w:tcPr>
          <w:p w:rsidR="00CF06DA" w:rsidRPr="00CF06DA" w:rsidRDefault="00CF06DA" w:rsidP="005F3ACF">
            <w:pPr>
              <w:spacing w:after="0" w:line="240" w:lineRule="auto"/>
              <w:ind w:firstLineChars="200" w:firstLine="320"/>
              <w:rPr>
                <w:rFonts w:ascii="Arial" w:eastAsia="Times New Roman" w:hAnsi="Arial" w:cs="Arial"/>
                <w:sz w:val="16"/>
                <w:szCs w:val="16"/>
                <w:lang w:eastAsia="cs-CZ"/>
              </w:rPr>
            </w:pPr>
            <w:r w:rsidRPr="00CF06DA">
              <w:rPr>
                <w:rFonts w:ascii="Arial" w:eastAsia="Times New Roman" w:hAnsi="Arial" w:cs="Arial"/>
                <w:sz w:val="16"/>
                <w:szCs w:val="16"/>
                <w:lang w:eastAsia="cs-CZ"/>
              </w:rPr>
              <w:t>Eurozóna17</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1 947 958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103,1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63,4 </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1 982 199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101,8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62,8 </w:t>
            </w:r>
          </w:p>
        </w:tc>
      </w:tr>
      <w:tr w:rsidR="008B1A23" w:rsidRPr="00CF06DA" w:rsidTr="008B1A23">
        <w:trPr>
          <w:trHeight w:val="240"/>
        </w:trPr>
        <w:tc>
          <w:tcPr>
            <w:tcW w:w="1128" w:type="pct"/>
            <w:vAlign w:val="bottom"/>
          </w:tcPr>
          <w:p w:rsidR="00CF06DA" w:rsidRPr="00CF06DA" w:rsidRDefault="00CF06DA" w:rsidP="005F3ACF">
            <w:pPr>
              <w:spacing w:after="0" w:line="240" w:lineRule="auto"/>
              <w:ind w:firstLineChars="100" w:firstLine="160"/>
              <w:rPr>
                <w:rFonts w:ascii="Arial" w:eastAsia="Times New Roman" w:hAnsi="Arial" w:cs="Arial"/>
                <w:sz w:val="16"/>
                <w:szCs w:val="16"/>
                <w:lang w:eastAsia="cs-CZ"/>
              </w:rPr>
            </w:pPr>
            <w:r w:rsidRPr="00CF06DA">
              <w:rPr>
                <w:rFonts w:ascii="Arial" w:eastAsia="Times New Roman" w:hAnsi="Arial" w:cs="Arial"/>
                <w:sz w:val="16"/>
                <w:szCs w:val="16"/>
                <w:lang w:eastAsia="cs-CZ"/>
              </w:rPr>
              <w:t>mimo EU28</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574 297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120,0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18,7 </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598 561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104,2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19,0 </w:t>
            </w:r>
          </w:p>
        </w:tc>
      </w:tr>
      <w:tr w:rsidR="008B1A23" w:rsidRPr="00CF06DA" w:rsidTr="008B1A23">
        <w:trPr>
          <w:trHeight w:val="240"/>
        </w:trPr>
        <w:tc>
          <w:tcPr>
            <w:tcW w:w="1128" w:type="pct"/>
            <w:vAlign w:val="bottom"/>
          </w:tcPr>
          <w:p w:rsidR="00CF06DA" w:rsidRPr="00CF06DA" w:rsidRDefault="00CF06DA" w:rsidP="005F3ACF">
            <w:pPr>
              <w:spacing w:after="0" w:line="240" w:lineRule="auto"/>
              <w:ind w:firstLineChars="100" w:firstLine="160"/>
              <w:rPr>
                <w:rFonts w:ascii="Arial" w:eastAsia="Times New Roman" w:hAnsi="Arial" w:cs="Arial"/>
                <w:sz w:val="16"/>
                <w:szCs w:val="16"/>
                <w:lang w:eastAsia="cs-CZ"/>
              </w:rPr>
            </w:pPr>
            <w:r w:rsidRPr="00CF06DA">
              <w:rPr>
                <w:rFonts w:ascii="Arial" w:eastAsia="Times New Roman" w:hAnsi="Arial" w:cs="Arial"/>
                <w:sz w:val="16"/>
                <w:szCs w:val="16"/>
                <w:lang w:eastAsia="cs-CZ"/>
              </w:rPr>
              <w:t>nespecifikováno</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2 567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141,0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0,1 </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2 393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93,2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0,1 </w:t>
            </w:r>
          </w:p>
        </w:tc>
      </w:tr>
      <w:tr w:rsidR="008B1A23" w:rsidRPr="00CF06DA" w:rsidTr="008B1A23">
        <w:trPr>
          <w:trHeight w:val="240"/>
        </w:trPr>
        <w:tc>
          <w:tcPr>
            <w:tcW w:w="1128" w:type="pct"/>
            <w:vAlign w:val="bottom"/>
          </w:tcPr>
          <w:p w:rsidR="00CF06DA" w:rsidRPr="00CF06DA" w:rsidRDefault="00CF06DA" w:rsidP="005F3ACF">
            <w:pPr>
              <w:spacing w:after="0" w:line="240" w:lineRule="auto"/>
              <w:ind w:firstLineChars="200" w:firstLine="320"/>
              <w:rPr>
                <w:rFonts w:ascii="Arial" w:eastAsia="Times New Roman" w:hAnsi="Arial" w:cs="Arial"/>
                <w:sz w:val="16"/>
                <w:szCs w:val="16"/>
                <w:lang w:eastAsia="cs-CZ"/>
              </w:rPr>
            </w:pPr>
            <w:r w:rsidRPr="00CF06DA">
              <w:rPr>
                <w:rFonts w:ascii="Arial" w:eastAsia="Times New Roman" w:hAnsi="Arial" w:cs="Arial"/>
                <w:sz w:val="16"/>
                <w:szCs w:val="16"/>
                <w:lang w:eastAsia="cs-CZ"/>
              </w:rPr>
              <w:t>Čína</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32 712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110,8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1,1 </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37 548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114,8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1,2 </w:t>
            </w:r>
          </w:p>
        </w:tc>
      </w:tr>
      <w:tr w:rsidR="008B1A23" w:rsidRPr="00CF06DA" w:rsidTr="008B1A23">
        <w:trPr>
          <w:trHeight w:val="240"/>
        </w:trPr>
        <w:tc>
          <w:tcPr>
            <w:tcW w:w="1128" w:type="pct"/>
            <w:vAlign w:val="bottom"/>
          </w:tcPr>
          <w:p w:rsidR="00CF06DA" w:rsidRPr="00CF06DA" w:rsidRDefault="00CF06DA" w:rsidP="005F3ACF">
            <w:pPr>
              <w:spacing w:after="0" w:line="240" w:lineRule="auto"/>
              <w:ind w:firstLineChars="200" w:firstLine="320"/>
              <w:rPr>
                <w:rFonts w:ascii="Arial" w:eastAsia="Times New Roman" w:hAnsi="Arial" w:cs="Arial"/>
                <w:sz w:val="16"/>
                <w:szCs w:val="16"/>
                <w:lang w:eastAsia="cs-CZ"/>
              </w:rPr>
            </w:pPr>
            <w:r w:rsidRPr="00CF06DA">
              <w:rPr>
                <w:rFonts w:ascii="Arial" w:eastAsia="Times New Roman" w:hAnsi="Arial" w:cs="Arial"/>
                <w:sz w:val="16"/>
                <w:szCs w:val="16"/>
                <w:lang w:eastAsia="cs-CZ"/>
              </w:rPr>
              <w:t>Francie</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155 152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99,2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5,0 </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156 134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100,6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4,9 </w:t>
            </w:r>
          </w:p>
        </w:tc>
      </w:tr>
      <w:tr w:rsidR="008B1A23" w:rsidRPr="00CF06DA" w:rsidTr="008B1A23">
        <w:trPr>
          <w:trHeight w:val="240"/>
        </w:trPr>
        <w:tc>
          <w:tcPr>
            <w:tcW w:w="1128" w:type="pct"/>
            <w:vAlign w:val="bottom"/>
          </w:tcPr>
          <w:p w:rsidR="00CF06DA" w:rsidRPr="00CF06DA" w:rsidRDefault="00CF06DA" w:rsidP="005F3ACF">
            <w:pPr>
              <w:spacing w:after="0" w:line="240" w:lineRule="auto"/>
              <w:ind w:firstLineChars="200" w:firstLine="320"/>
              <w:rPr>
                <w:rFonts w:ascii="Arial" w:eastAsia="Times New Roman" w:hAnsi="Arial" w:cs="Arial"/>
                <w:sz w:val="16"/>
                <w:szCs w:val="16"/>
                <w:lang w:eastAsia="cs-CZ"/>
              </w:rPr>
            </w:pPr>
            <w:r w:rsidRPr="00CF06DA">
              <w:rPr>
                <w:rFonts w:ascii="Arial" w:eastAsia="Times New Roman" w:hAnsi="Arial" w:cs="Arial"/>
                <w:sz w:val="16"/>
                <w:szCs w:val="16"/>
                <w:lang w:eastAsia="cs-CZ"/>
              </w:rPr>
              <w:t>Německo</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966 190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104,2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31,4 </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987 590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102,2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31,3 </w:t>
            </w:r>
          </w:p>
        </w:tc>
      </w:tr>
      <w:tr w:rsidR="008B1A23" w:rsidRPr="00CF06DA" w:rsidTr="008B1A23">
        <w:trPr>
          <w:trHeight w:val="240"/>
        </w:trPr>
        <w:tc>
          <w:tcPr>
            <w:tcW w:w="1128" w:type="pct"/>
            <w:vAlign w:val="bottom"/>
          </w:tcPr>
          <w:p w:rsidR="00CF06DA" w:rsidRPr="00CF06DA" w:rsidRDefault="00CF06DA" w:rsidP="005F3ACF">
            <w:pPr>
              <w:spacing w:after="0" w:line="240" w:lineRule="auto"/>
              <w:ind w:firstLineChars="200" w:firstLine="320"/>
              <w:rPr>
                <w:rFonts w:ascii="Arial" w:eastAsia="Times New Roman" w:hAnsi="Arial" w:cs="Arial"/>
                <w:sz w:val="16"/>
                <w:szCs w:val="16"/>
                <w:lang w:eastAsia="cs-CZ"/>
              </w:rPr>
            </w:pPr>
            <w:r w:rsidRPr="00CF06DA">
              <w:rPr>
                <w:rFonts w:ascii="Arial" w:eastAsia="Times New Roman" w:hAnsi="Arial" w:cs="Arial"/>
                <w:sz w:val="16"/>
                <w:szCs w:val="16"/>
                <w:lang w:eastAsia="cs-CZ"/>
              </w:rPr>
              <w:t>Polsko</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187 115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103,1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6,1 </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187 815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100,4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5,9 </w:t>
            </w:r>
          </w:p>
        </w:tc>
      </w:tr>
      <w:tr w:rsidR="008B1A23" w:rsidRPr="00CF06DA" w:rsidTr="008B1A23">
        <w:trPr>
          <w:trHeight w:val="240"/>
        </w:trPr>
        <w:tc>
          <w:tcPr>
            <w:tcW w:w="1128" w:type="pct"/>
            <w:vAlign w:val="bottom"/>
          </w:tcPr>
          <w:p w:rsidR="00CF06DA" w:rsidRPr="00CF06DA" w:rsidRDefault="00CF06DA" w:rsidP="005F3ACF">
            <w:pPr>
              <w:spacing w:after="0" w:line="240" w:lineRule="auto"/>
              <w:ind w:firstLineChars="200" w:firstLine="320"/>
              <w:rPr>
                <w:rFonts w:ascii="Arial" w:eastAsia="Times New Roman" w:hAnsi="Arial" w:cs="Arial"/>
                <w:sz w:val="16"/>
                <w:szCs w:val="16"/>
                <w:lang w:eastAsia="cs-CZ"/>
              </w:rPr>
            </w:pPr>
            <w:r w:rsidRPr="00CF06DA">
              <w:rPr>
                <w:rFonts w:ascii="Arial" w:eastAsia="Times New Roman" w:hAnsi="Arial" w:cs="Arial"/>
                <w:sz w:val="16"/>
                <w:szCs w:val="16"/>
                <w:lang w:eastAsia="cs-CZ"/>
              </w:rPr>
              <w:t>Rakousko</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141 646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108,4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4,6 </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143 757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101,5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4,6 </w:t>
            </w:r>
          </w:p>
        </w:tc>
      </w:tr>
      <w:tr w:rsidR="008B1A23" w:rsidRPr="00CF06DA" w:rsidTr="008B1A23">
        <w:trPr>
          <w:trHeight w:val="240"/>
        </w:trPr>
        <w:tc>
          <w:tcPr>
            <w:tcW w:w="1128" w:type="pct"/>
            <w:vAlign w:val="bottom"/>
          </w:tcPr>
          <w:p w:rsidR="00CF06DA" w:rsidRPr="00CF06DA" w:rsidRDefault="00CF06DA" w:rsidP="005F3ACF">
            <w:pPr>
              <w:spacing w:after="0" w:line="240" w:lineRule="auto"/>
              <w:ind w:firstLineChars="200" w:firstLine="320"/>
              <w:rPr>
                <w:rFonts w:ascii="Arial" w:eastAsia="Times New Roman" w:hAnsi="Arial" w:cs="Arial"/>
                <w:sz w:val="16"/>
                <w:szCs w:val="16"/>
                <w:lang w:eastAsia="cs-CZ"/>
              </w:rPr>
            </w:pPr>
            <w:r w:rsidRPr="00CF06DA">
              <w:rPr>
                <w:rFonts w:ascii="Arial" w:eastAsia="Times New Roman" w:hAnsi="Arial" w:cs="Arial"/>
                <w:sz w:val="16"/>
                <w:szCs w:val="16"/>
                <w:lang w:eastAsia="cs-CZ"/>
              </w:rPr>
              <w:t>Ruská federace</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118 025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127,4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3,8 </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116 165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98,4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3,7 </w:t>
            </w:r>
          </w:p>
        </w:tc>
      </w:tr>
      <w:tr w:rsidR="008B1A23" w:rsidRPr="00CF06DA" w:rsidTr="008B1A23">
        <w:trPr>
          <w:trHeight w:val="240"/>
        </w:trPr>
        <w:tc>
          <w:tcPr>
            <w:tcW w:w="1128" w:type="pct"/>
            <w:vAlign w:val="bottom"/>
          </w:tcPr>
          <w:p w:rsidR="00CF06DA" w:rsidRPr="00CF06DA" w:rsidRDefault="00CF06DA" w:rsidP="005F3ACF">
            <w:pPr>
              <w:spacing w:after="0" w:line="240" w:lineRule="auto"/>
              <w:ind w:firstLineChars="200" w:firstLine="320"/>
              <w:rPr>
                <w:rFonts w:ascii="Arial" w:eastAsia="Times New Roman" w:hAnsi="Arial" w:cs="Arial"/>
                <w:sz w:val="16"/>
                <w:szCs w:val="16"/>
                <w:lang w:eastAsia="cs-CZ"/>
              </w:rPr>
            </w:pPr>
            <w:r w:rsidRPr="00CF06DA">
              <w:rPr>
                <w:rFonts w:ascii="Arial" w:eastAsia="Times New Roman" w:hAnsi="Arial" w:cs="Arial"/>
                <w:sz w:val="16"/>
                <w:szCs w:val="16"/>
                <w:lang w:eastAsia="cs-CZ"/>
              </w:rPr>
              <w:t>Slovensko</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277 491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107,7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9,0 </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280 611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101,1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8,9 </w:t>
            </w:r>
          </w:p>
        </w:tc>
      </w:tr>
      <w:tr w:rsidR="008B1A23" w:rsidRPr="00CF06DA" w:rsidTr="008B1A23">
        <w:trPr>
          <w:trHeight w:val="240"/>
        </w:trPr>
        <w:tc>
          <w:tcPr>
            <w:tcW w:w="1128" w:type="pct"/>
            <w:vAlign w:val="bottom"/>
          </w:tcPr>
          <w:p w:rsidR="00CF06DA" w:rsidRPr="00CF06DA" w:rsidRDefault="00CF06DA" w:rsidP="005F3ACF">
            <w:pPr>
              <w:spacing w:after="0" w:line="240" w:lineRule="auto"/>
              <w:ind w:firstLineChars="200" w:firstLine="320"/>
              <w:rPr>
                <w:rFonts w:ascii="Arial" w:eastAsia="Times New Roman" w:hAnsi="Arial" w:cs="Arial"/>
                <w:sz w:val="16"/>
                <w:szCs w:val="16"/>
                <w:lang w:eastAsia="cs-CZ"/>
              </w:rPr>
            </w:pPr>
            <w:r w:rsidRPr="00CF06DA">
              <w:rPr>
                <w:rFonts w:ascii="Arial" w:eastAsia="Times New Roman" w:hAnsi="Arial" w:cs="Arial"/>
                <w:sz w:val="16"/>
                <w:szCs w:val="16"/>
                <w:lang w:eastAsia="cs-CZ"/>
              </w:rPr>
              <w:t>Spojené království</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147 084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113,0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4,8 </w:t>
            </w:r>
          </w:p>
        </w:tc>
        <w:tc>
          <w:tcPr>
            <w:tcW w:w="664"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152 442 </w:t>
            </w:r>
          </w:p>
        </w:tc>
        <w:tc>
          <w:tcPr>
            <w:tcW w:w="539"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103,6 </w:t>
            </w:r>
          </w:p>
        </w:tc>
        <w:tc>
          <w:tcPr>
            <w:tcW w:w="733" w:type="pct"/>
            <w:shd w:val="clear" w:color="auto" w:fill="auto"/>
            <w:noWrap/>
            <w:vAlign w:val="bottom"/>
            <w:hideMark/>
          </w:tcPr>
          <w:p w:rsidR="00CF06DA" w:rsidRPr="00CF06DA" w:rsidRDefault="00CF06DA" w:rsidP="00CF06DA">
            <w:pPr>
              <w:spacing w:after="0" w:line="240" w:lineRule="auto"/>
              <w:jc w:val="right"/>
              <w:rPr>
                <w:rFonts w:ascii="Arial" w:eastAsia="Times New Roman" w:hAnsi="Arial" w:cs="Arial"/>
                <w:sz w:val="16"/>
                <w:szCs w:val="16"/>
                <w:lang w:eastAsia="cs-CZ"/>
              </w:rPr>
            </w:pPr>
            <w:r w:rsidRPr="00CF06DA">
              <w:rPr>
                <w:rFonts w:ascii="Arial" w:eastAsia="Times New Roman" w:hAnsi="Arial" w:cs="Arial"/>
                <w:sz w:val="16"/>
                <w:szCs w:val="16"/>
                <w:lang w:eastAsia="cs-CZ"/>
              </w:rPr>
              <w:t xml:space="preserve">4,8 </w:t>
            </w:r>
          </w:p>
        </w:tc>
      </w:tr>
    </w:tbl>
    <w:p w:rsidR="00CF06DA" w:rsidRDefault="00CF06DA"/>
    <w:p w:rsidR="00A50EC3" w:rsidRPr="008A5000" w:rsidRDefault="008A5000">
      <w:pPr>
        <w:rPr>
          <w:b/>
        </w:rPr>
      </w:pPr>
      <w:r>
        <w:rPr>
          <w:b/>
        </w:rPr>
        <w:t>Závěry z hlediska výzkumného projektu</w:t>
      </w:r>
    </w:p>
    <w:p w:rsidR="0049367C" w:rsidRDefault="004951A5">
      <w:r>
        <w:t xml:space="preserve"> </w:t>
      </w:r>
      <w:r w:rsidR="0034339F">
        <w:t xml:space="preserve"> </w:t>
      </w:r>
      <w:r w:rsidR="008A5000">
        <w:t>Z těchto důvodů jsme se v rámci řešení projektu soustředili primárně na tyto státy:</w:t>
      </w:r>
    </w:p>
    <w:p w:rsidR="008A5000" w:rsidRDefault="008A5000" w:rsidP="008A5000">
      <w:pPr>
        <w:pStyle w:val="Odstavecseseznamem"/>
        <w:numPr>
          <w:ilvl w:val="0"/>
          <w:numId w:val="1"/>
        </w:numPr>
      </w:pPr>
      <w:r>
        <w:t>Německo</w:t>
      </w:r>
    </w:p>
    <w:p w:rsidR="008A5000" w:rsidRDefault="008A5000" w:rsidP="008A5000">
      <w:pPr>
        <w:pStyle w:val="Odstavecseseznamem"/>
        <w:numPr>
          <w:ilvl w:val="0"/>
          <w:numId w:val="1"/>
        </w:numPr>
      </w:pPr>
      <w:r>
        <w:t>Slovensko</w:t>
      </w:r>
    </w:p>
    <w:p w:rsidR="008A5000" w:rsidRDefault="008A5000" w:rsidP="008A5000">
      <w:pPr>
        <w:pStyle w:val="Odstavecseseznamem"/>
        <w:numPr>
          <w:ilvl w:val="0"/>
          <w:numId w:val="1"/>
        </w:numPr>
      </w:pPr>
      <w:r>
        <w:t>Polsko</w:t>
      </w:r>
    </w:p>
    <w:p w:rsidR="008A5000" w:rsidRDefault="008A5000" w:rsidP="008A5000">
      <w:pPr>
        <w:pStyle w:val="Odstavecseseznamem"/>
        <w:numPr>
          <w:ilvl w:val="0"/>
          <w:numId w:val="1"/>
        </w:numPr>
      </w:pPr>
      <w:r>
        <w:t>Rakousko</w:t>
      </w:r>
    </w:p>
    <w:p w:rsidR="008A5000" w:rsidRDefault="008A5000" w:rsidP="008A5000">
      <w:r>
        <w:t xml:space="preserve">V další rovině pak na zbylé země EU27 (respektive EU28), zvláště pak </w:t>
      </w:r>
      <w:proofErr w:type="gramStart"/>
      <w:r>
        <w:t>na</w:t>
      </w:r>
      <w:proofErr w:type="gramEnd"/>
      <w:r>
        <w:t>:</w:t>
      </w:r>
    </w:p>
    <w:p w:rsidR="008A5000" w:rsidRDefault="008A5000" w:rsidP="008A5000">
      <w:pPr>
        <w:pStyle w:val="Odstavecseseznamem"/>
        <w:numPr>
          <w:ilvl w:val="0"/>
          <w:numId w:val="1"/>
        </w:numPr>
      </w:pPr>
      <w:r>
        <w:t>Francii</w:t>
      </w:r>
    </w:p>
    <w:p w:rsidR="008A5000" w:rsidRDefault="008A5000" w:rsidP="008A5000">
      <w:pPr>
        <w:pStyle w:val="Odstavecseseznamem"/>
        <w:numPr>
          <w:ilvl w:val="0"/>
          <w:numId w:val="1"/>
        </w:numPr>
      </w:pPr>
      <w:r>
        <w:t>Velkou Británii</w:t>
      </w:r>
    </w:p>
    <w:p w:rsidR="008A5000" w:rsidRDefault="008A5000" w:rsidP="008A5000">
      <w:pPr>
        <w:pStyle w:val="Odstavecseseznamem"/>
        <w:numPr>
          <w:ilvl w:val="0"/>
          <w:numId w:val="1"/>
        </w:numPr>
      </w:pPr>
      <w:r>
        <w:t>Itálii</w:t>
      </w:r>
    </w:p>
    <w:p w:rsidR="008A5000" w:rsidRDefault="008A5000" w:rsidP="008A5000">
      <w:pPr>
        <w:pStyle w:val="Odstavecseseznamem"/>
        <w:numPr>
          <w:ilvl w:val="0"/>
          <w:numId w:val="1"/>
        </w:numPr>
      </w:pPr>
      <w:r>
        <w:t>Nizozemsko</w:t>
      </w:r>
    </w:p>
    <w:p w:rsidR="008F58B9" w:rsidRDefault="008F58B9" w:rsidP="008A5000">
      <w:pPr>
        <w:pStyle w:val="Odstavecseseznamem"/>
        <w:numPr>
          <w:ilvl w:val="0"/>
          <w:numId w:val="1"/>
        </w:numPr>
      </w:pPr>
      <w:r>
        <w:t>Maďarsko</w:t>
      </w:r>
    </w:p>
    <w:p w:rsidR="008F58B9" w:rsidRDefault="008F58B9" w:rsidP="008A5000">
      <w:pPr>
        <w:pStyle w:val="Odstavecseseznamem"/>
        <w:numPr>
          <w:ilvl w:val="0"/>
          <w:numId w:val="1"/>
        </w:numPr>
      </w:pPr>
      <w:r>
        <w:t>Belgii</w:t>
      </w:r>
    </w:p>
    <w:p w:rsidR="008F58B9" w:rsidRDefault="008F58B9" w:rsidP="008A5000">
      <w:pPr>
        <w:pStyle w:val="Odstavecseseznamem"/>
        <w:numPr>
          <w:ilvl w:val="0"/>
          <w:numId w:val="1"/>
        </w:numPr>
      </w:pPr>
      <w:r>
        <w:t>Španělsko</w:t>
      </w:r>
    </w:p>
    <w:p w:rsidR="008F58B9" w:rsidRDefault="008F58B9" w:rsidP="008A5000">
      <w:pPr>
        <w:pStyle w:val="Odstavecseseznamem"/>
        <w:numPr>
          <w:ilvl w:val="0"/>
          <w:numId w:val="1"/>
        </w:numPr>
      </w:pPr>
      <w:r>
        <w:t>Švýcarsko</w:t>
      </w:r>
    </w:p>
    <w:p w:rsidR="008F58B9" w:rsidRDefault="008F58B9" w:rsidP="008A5000">
      <w:pPr>
        <w:pStyle w:val="Odstavecseseznamem"/>
        <w:numPr>
          <w:ilvl w:val="0"/>
          <w:numId w:val="1"/>
        </w:numPr>
      </w:pPr>
      <w:r>
        <w:t>Švédsko</w:t>
      </w:r>
    </w:p>
    <w:p w:rsidR="008F58B9" w:rsidRDefault="008F58B9" w:rsidP="008A5000">
      <w:pPr>
        <w:pStyle w:val="Odstavecseseznamem"/>
        <w:numPr>
          <w:ilvl w:val="0"/>
          <w:numId w:val="1"/>
        </w:numPr>
      </w:pPr>
      <w:r>
        <w:t>Dánsko</w:t>
      </w:r>
    </w:p>
    <w:p w:rsidR="008F58B9" w:rsidRDefault="008F58B9" w:rsidP="008F58B9">
      <w:r>
        <w:t>A konečně na perspektivní státy, se kterými lze očekávat posilování obchodní výměny:</w:t>
      </w:r>
    </w:p>
    <w:p w:rsidR="008F58B9" w:rsidRDefault="008F58B9" w:rsidP="008F58B9">
      <w:pPr>
        <w:pStyle w:val="Odstavecseseznamem"/>
        <w:numPr>
          <w:ilvl w:val="0"/>
          <w:numId w:val="1"/>
        </w:numPr>
      </w:pPr>
      <w:r>
        <w:t>Rusko (i když v posledních obdobích obchod spíše stagnuje)</w:t>
      </w:r>
    </w:p>
    <w:p w:rsidR="008F58B9" w:rsidRDefault="008F58B9" w:rsidP="008F58B9">
      <w:pPr>
        <w:pStyle w:val="Odstavecseseznamem"/>
        <w:numPr>
          <w:ilvl w:val="0"/>
          <w:numId w:val="1"/>
        </w:numPr>
      </w:pPr>
      <w:r>
        <w:t>Čínu</w:t>
      </w:r>
    </w:p>
    <w:p w:rsidR="008F58B9" w:rsidRDefault="008F58B9" w:rsidP="008F58B9">
      <w:pPr>
        <w:pStyle w:val="Odstavecseseznamem"/>
        <w:numPr>
          <w:ilvl w:val="0"/>
          <w:numId w:val="1"/>
        </w:numPr>
      </w:pPr>
      <w:r>
        <w:t xml:space="preserve">další země </w:t>
      </w:r>
      <w:proofErr w:type="spellStart"/>
      <w:r>
        <w:t>BRICS</w:t>
      </w:r>
      <w:proofErr w:type="spellEnd"/>
      <w:r>
        <w:t xml:space="preserve"> (tedy Brazílie, Indie a Jižní Afrika)</w:t>
      </w:r>
    </w:p>
    <w:p w:rsidR="0049367C" w:rsidRDefault="0049367C"/>
    <w:sectPr w:rsidR="00493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26DB8"/>
    <w:multiLevelType w:val="hybridMultilevel"/>
    <w:tmpl w:val="8F58AF3A"/>
    <w:lvl w:ilvl="0" w:tplc="21C8752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B4"/>
    <w:rsid w:val="000A1FB4"/>
    <w:rsid w:val="0026493F"/>
    <w:rsid w:val="0034339F"/>
    <w:rsid w:val="003463B1"/>
    <w:rsid w:val="00424E59"/>
    <w:rsid w:val="0049367C"/>
    <w:rsid w:val="004951A5"/>
    <w:rsid w:val="00605F5B"/>
    <w:rsid w:val="0061667B"/>
    <w:rsid w:val="00622EBC"/>
    <w:rsid w:val="00707405"/>
    <w:rsid w:val="008A5000"/>
    <w:rsid w:val="008B1A23"/>
    <w:rsid w:val="008D28ED"/>
    <w:rsid w:val="008F58B9"/>
    <w:rsid w:val="00900489"/>
    <w:rsid w:val="00992179"/>
    <w:rsid w:val="00A50EC3"/>
    <w:rsid w:val="00A9505A"/>
    <w:rsid w:val="00AE5291"/>
    <w:rsid w:val="00B51A7C"/>
    <w:rsid w:val="00B56120"/>
    <w:rsid w:val="00CE5603"/>
    <w:rsid w:val="00CF06DA"/>
    <w:rsid w:val="00E37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22E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2EBC"/>
    <w:rPr>
      <w:rFonts w:ascii="Tahoma" w:hAnsi="Tahoma" w:cs="Tahoma"/>
      <w:sz w:val="16"/>
      <w:szCs w:val="16"/>
    </w:rPr>
  </w:style>
  <w:style w:type="character" w:styleId="Hypertextovodkaz">
    <w:name w:val="Hyperlink"/>
    <w:basedOn w:val="Standardnpsmoodstavce"/>
    <w:uiPriority w:val="99"/>
    <w:unhideWhenUsed/>
    <w:rsid w:val="00707405"/>
    <w:rPr>
      <w:color w:val="0000FF" w:themeColor="hyperlink"/>
      <w:u w:val="single"/>
    </w:rPr>
  </w:style>
  <w:style w:type="paragraph" w:styleId="Odstavecseseznamem">
    <w:name w:val="List Paragraph"/>
    <w:basedOn w:val="Normln"/>
    <w:uiPriority w:val="34"/>
    <w:qFormat/>
    <w:rsid w:val="00707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22E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2EBC"/>
    <w:rPr>
      <w:rFonts w:ascii="Tahoma" w:hAnsi="Tahoma" w:cs="Tahoma"/>
      <w:sz w:val="16"/>
      <w:szCs w:val="16"/>
    </w:rPr>
  </w:style>
  <w:style w:type="character" w:styleId="Hypertextovodkaz">
    <w:name w:val="Hyperlink"/>
    <w:basedOn w:val="Standardnpsmoodstavce"/>
    <w:uiPriority w:val="99"/>
    <w:unhideWhenUsed/>
    <w:rsid w:val="00707405"/>
    <w:rPr>
      <w:color w:val="0000FF" w:themeColor="hyperlink"/>
      <w:u w:val="single"/>
    </w:rPr>
  </w:style>
  <w:style w:type="paragraph" w:styleId="Odstavecseseznamem">
    <w:name w:val="List Paragraph"/>
    <w:basedOn w:val="Normln"/>
    <w:uiPriority w:val="34"/>
    <w:qFormat/>
    <w:rsid w:val="0070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3969">
      <w:bodyDiv w:val="1"/>
      <w:marLeft w:val="0"/>
      <w:marRight w:val="0"/>
      <w:marTop w:val="0"/>
      <w:marBottom w:val="0"/>
      <w:divBdr>
        <w:top w:val="none" w:sz="0" w:space="0" w:color="auto"/>
        <w:left w:val="none" w:sz="0" w:space="0" w:color="auto"/>
        <w:bottom w:val="none" w:sz="0" w:space="0" w:color="auto"/>
        <w:right w:val="none" w:sz="0" w:space="0" w:color="auto"/>
      </w:divBdr>
    </w:div>
    <w:div w:id="606815347">
      <w:bodyDiv w:val="1"/>
      <w:marLeft w:val="0"/>
      <w:marRight w:val="0"/>
      <w:marTop w:val="0"/>
      <w:marBottom w:val="0"/>
      <w:divBdr>
        <w:top w:val="none" w:sz="0" w:space="0" w:color="auto"/>
        <w:left w:val="none" w:sz="0" w:space="0" w:color="auto"/>
        <w:bottom w:val="none" w:sz="0" w:space="0" w:color="auto"/>
        <w:right w:val="none" w:sz="0" w:space="0" w:color="auto"/>
      </w:divBdr>
    </w:div>
    <w:div w:id="639577571">
      <w:bodyDiv w:val="1"/>
      <w:marLeft w:val="0"/>
      <w:marRight w:val="0"/>
      <w:marTop w:val="0"/>
      <w:marBottom w:val="0"/>
      <w:divBdr>
        <w:top w:val="none" w:sz="0" w:space="0" w:color="auto"/>
        <w:left w:val="none" w:sz="0" w:space="0" w:color="auto"/>
        <w:bottom w:val="none" w:sz="0" w:space="0" w:color="auto"/>
        <w:right w:val="none" w:sz="0" w:space="0" w:color="auto"/>
      </w:divBdr>
    </w:div>
    <w:div w:id="681124080">
      <w:bodyDiv w:val="1"/>
      <w:marLeft w:val="0"/>
      <w:marRight w:val="0"/>
      <w:marTop w:val="0"/>
      <w:marBottom w:val="0"/>
      <w:divBdr>
        <w:top w:val="none" w:sz="0" w:space="0" w:color="auto"/>
        <w:left w:val="none" w:sz="0" w:space="0" w:color="auto"/>
        <w:bottom w:val="none" w:sz="0" w:space="0" w:color="auto"/>
        <w:right w:val="none" w:sz="0" w:space="0" w:color="auto"/>
      </w:divBdr>
    </w:div>
    <w:div w:id="746223003">
      <w:bodyDiv w:val="1"/>
      <w:marLeft w:val="0"/>
      <w:marRight w:val="0"/>
      <w:marTop w:val="0"/>
      <w:marBottom w:val="0"/>
      <w:divBdr>
        <w:top w:val="none" w:sz="0" w:space="0" w:color="auto"/>
        <w:left w:val="none" w:sz="0" w:space="0" w:color="auto"/>
        <w:bottom w:val="none" w:sz="0" w:space="0" w:color="auto"/>
        <w:right w:val="none" w:sz="0" w:space="0" w:color="auto"/>
      </w:divBdr>
    </w:div>
    <w:div w:id="788209224">
      <w:bodyDiv w:val="1"/>
      <w:marLeft w:val="0"/>
      <w:marRight w:val="0"/>
      <w:marTop w:val="0"/>
      <w:marBottom w:val="0"/>
      <w:divBdr>
        <w:top w:val="none" w:sz="0" w:space="0" w:color="auto"/>
        <w:left w:val="none" w:sz="0" w:space="0" w:color="auto"/>
        <w:bottom w:val="none" w:sz="0" w:space="0" w:color="auto"/>
        <w:right w:val="none" w:sz="0" w:space="0" w:color="auto"/>
      </w:divBdr>
    </w:div>
    <w:div w:id="858082777">
      <w:bodyDiv w:val="1"/>
      <w:marLeft w:val="0"/>
      <w:marRight w:val="0"/>
      <w:marTop w:val="0"/>
      <w:marBottom w:val="0"/>
      <w:divBdr>
        <w:top w:val="none" w:sz="0" w:space="0" w:color="auto"/>
        <w:left w:val="none" w:sz="0" w:space="0" w:color="auto"/>
        <w:bottom w:val="none" w:sz="0" w:space="0" w:color="auto"/>
        <w:right w:val="none" w:sz="0" w:space="0" w:color="auto"/>
      </w:divBdr>
    </w:div>
    <w:div w:id="1156729581">
      <w:bodyDiv w:val="1"/>
      <w:marLeft w:val="0"/>
      <w:marRight w:val="0"/>
      <w:marTop w:val="0"/>
      <w:marBottom w:val="0"/>
      <w:divBdr>
        <w:top w:val="none" w:sz="0" w:space="0" w:color="auto"/>
        <w:left w:val="none" w:sz="0" w:space="0" w:color="auto"/>
        <w:bottom w:val="none" w:sz="0" w:space="0" w:color="auto"/>
        <w:right w:val="none" w:sz="0" w:space="0" w:color="auto"/>
      </w:divBdr>
    </w:div>
    <w:div w:id="143347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so.cz/csu/2013edicniplan.nsf/p/6001-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Temp\60011312g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75196044593926E-2"/>
          <c:y val="0.1243374781772188"/>
          <c:w val="0.8449146779729455"/>
          <c:h val="0.76046117446765849"/>
        </c:manualLayout>
      </c:layout>
      <c:ofPieChart>
        <c:ofPieType val="pie"/>
        <c:varyColors val="1"/>
        <c:ser>
          <c:idx val="0"/>
          <c:order val="0"/>
          <c:spPr>
            <a:solidFill>
              <a:srgbClr val="FFFFFF"/>
            </a:solidFill>
            <a:ln>
              <a:solidFill>
                <a:schemeClr val="accent1">
                  <a:lumMod val="50000"/>
                </a:schemeClr>
              </a:solidFill>
            </a:ln>
          </c:spPr>
          <c:dPt>
            <c:idx val="7"/>
            <c:bubble3D val="0"/>
            <c:spPr>
              <a:solidFill>
                <a:schemeClr val="bg1"/>
              </a:solidFill>
              <a:ln>
                <a:solidFill>
                  <a:schemeClr val="accent1">
                    <a:lumMod val="50000"/>
                  </a:schemeClr>
                </a:solidFill>
              </a:ln>
            </c:spPr>
          </c:dPt>
          <c:dPt>
            <c:idx val="8"/>
            <c:bubble3D val="0"/>
            <c:spPr>
              <a:noFill/>
              <a:ln>
                <a:solidFill>
                  <a:schemeClr val="accent1">
                    <a:lumMod val="50000"/>
                  </a:schemeClr>
                </a:solidFill>
              </a:ln>
            </c:spPr>
          </c:dPt>
          <c:dPt>
            <c:idx val="9"/>
            <c:bubble3D val="0"/>
            <c:spPr>
              <a:solidFill>
                <a:srgbClr val="B9CDE5"/>
              </a:solidFill>
              <a:ln>
                <a:solidFill>
                  <a:schemeClr val="accent1">
                    <a:lumMod val="50000"/>
                  </a:schemeClr>
                </a:solidFill>
              </a:ln>
            </c:spPr>
          </c:dPt>
          <c:dLbls>
            <c:dLbl>
              <c:idx val="0"/>
              <c:tx>
                <c:rich>
                  <a:bodyPr/>
                  <a:lstStyle/>
                  <a:p>
                    <a:r>
                      <a:rPr lang="en-US"/>
                      <a:t>mimo EU28
non-EU28
</a:t>
                    </a:r>
                    <a:r>
                      <a:rPr lang="cs-CZ"/>
                      <a:t>20,1 </a:t>
                    </a:r>
                    <a:r>
                      <a:rPr lang="en-US"/>
                      <a:t>%</a:t>
                    </a:r>
                  </a:p>
                </c:rich>
              </c:tx>
              <c:showLegendKey val="0"/>
              <c:showVal val="0"/>
              <c:showCatName val="1"/>
              <c:showSerName val="0"/>
              <c:showPercent val="1"/>
              <c:showBubbleSize val="0"/>
            </c:dLbl>
            <c:dLbl>
              <c:idx val="1"/>
              <c:layout>
                <c:manualLayout>
                  <c:x val="2.161028332996839E-2"/>
                  <c:y val="-1.1979686958843962E-2"/>
                </c:manualLayout>
              </c:layout>
              <c:tx>
                <c:rich>
                  <a:bodyPr/>
                  <a:lstStyle/>
                  <a:p>
                    <a:r>
                      <a:rPr lang="en-US"/>
                      <a:t>nespecifikováno
unspecified
0</a:t>
                    </a:r>
                    <a:r>
                      <a:rPr lang="cs-CZ"/>
                      <a:t>,1 </a:t>
                    </a:r>
                    <a:r>
                      <a:rPr lang="en-US"/>
                      <a:t>%</a:t>
                    </a:r>
                  </a:p>
                </c:rich>
              </c:tx>
              <c:showLegendKey val="0"/>
              <c:showVal val="0"/>
              <c:showCatName val="1"/>
              <c:showSerName val="0"/>
              <c:showPercent val="1"/>
              <c:showBubbleSize val="0"/>
            </c:dLbl>
            <c:dLbl>
              <c:idx val="2"/>
              <c:layout>
                <c:manualLayout>
                  <c:x val="6.1307382731004778E-2"/>
                  <c:y val="0.21000646779248"/>
                </c:manualLayout>
              </c:layout>
              <c:showLegendKey val="0"/>
              <c:showVal val="0"/>
              <c:showCatName val="1"/>
              <c:showSerName val="0"/>
              <c:showPercent val="1"/>
              <c:showBubbleSize val="0"/>
            </c:dLbl>
            <c:dLbl>
              <c:idx val="3"/>
              <c:layout>
                <c:manualLayout>
                  <c:x val="-6.2919819637929877E-2"/>
                  <c:y val="0.11484546148742536"/>
                </c:manualLayout>
              </c:layout>
              <c:showLegendKey val="0"/>
              <c:showVal val="0"/>
              <c:showCatName val="1"/>
              <c:showSerName val="0"/>
              <c:showPercent val="1"/>
              <c:showBubbleSize val="0"/>
            </c:dLbl>
            <c:dLbl>
              <c:idx val="4"/>
              <c:layout>
                <c:manualLayout>
                  <c:x val="-7.3804859008008622E-2"/>
                  <c:y val="4.3861814570475985E-2"/>
                </c:manualLayout>
              </c:layout>
              <c:showLegendKey val="0"/>
              <c:showVal val="0"/>
              <c:showCatName val="1"/>
              <c:showSerName val="0"/>
              <c:showPercent val="1"/>
              <c:showBubbleSize val="0"/>
            </c:dLbl>
            <c:dLbl>
              <c:idx val="5"/>
              <c:layout>
                <c:manualLayout>
                  <c:x val="-7.4353052022343422E-2"/>
                  <c:y val="-4.9542455841668472E-3"/>
                </c:manualLayout>
              </c:layout>
              <c:showLegendKey val="0"/>
              <c:showVal val="0"/>
              <c:showCatName val="1"/>
              <c:showSerName val="0"/>
              <c:showPercent val="1"/>
              <c:showBubbleSize val="0"/>
            </c:dLbl>
            <c:dLbl>
              <c:idx val="6"/>
              <c:layout>
                <c:manualLayout>
                  <c:x val="-9.0061511541826525E-2"/>
                  <c:y val="-4.8076144694949696E-2"/>
                </c:manualLayout>
              </c:layout>
              <c:showLegendKey val="0"/>
              <c:showVal val="0"/>
              <c:showCatName val="1"/>
              <c:showSerName val="0"/>
              <c:showPercent val="1"/>
              <c:showBubbleSize val="0"/>
            </c:dLbl>
            <c:dLbl>
              <c:idx val="7"/>
              <c:layout>
                <c:manualLayout>
                  <c:x val="-6.7735863786257469E-2"/>
                  <c:y val="-7.705536013085805E-2"/>
                </c:manualLayout>
              </c:layout>
              <c:showLegendKey val="0"/>
              <c:showVal val="0"/>
              <c:showCatName val="1"/>
              <c:showSerName val="0"/>
              <c:showPercent val="1"/>
              <c:showBubbleSize val="0"/>
            </c:dLbl>
            <c:dLbl>
              <c:idx val="8"/>
              <c:layout>
                <c:manualLayout>
                  <c:x val="6.5775839558516819E-2"/>
                  <c:y val="-0.11155247883362751"/>
                </c:manualLayout>
              </c:layout>
              <c:showLegendKey val="0"/>
              <c:showVal val="0"/>
              <c:showCatName val="1"/>
              <c:showSerName val="0"/>
              <c:showPercent val="1"/>
              <c:showBubbleSize val="0"/>
            </c:dLbl>
            <c:dLbl>
              <c:idx val="9"/>
              <c:layout>
                <c:manualLayout>
                  <c:x val="-8.5227700383605928E-2"/>
                  <c:y val="2.9201039854120023E-3"/>
                </c:manualLayout>
              </c:layout>
              <c:tx>
                <c:rich>
                  <a:bodyPr/>
                  <a:lstStyle/>
                  <a:p>
                    <a:r>
                      <a:rPr lang="cs-CZ" sz="900">
                        <a:latin typeface="Arial" pitchFamily="34" charset="0"/>
                        <a:cs typeface="Arial" pitchFamily="34" charset="0"/>
                      </a:rPr>
                      <a:t>EU28</a:t>
                    </a:r>
                  </a:p>
                  <a:p>
                    <a:r>
                      <a:rPr lang="en-US" sz="900">
                        <a:latin typeface="Arial" pitchFamily="34" charset="0"/>
                        <a:cs typeface="Arial" pitchFamily="34" charset="0"/>
                      </a:rPr>
                      <a:t>
</a:t>
                    </a:r>
                    <a:r>
                      <a:rPr lang="cs-CZ" sz="900">
                        <a:latin typeface="Arial" pitchFamily="34" charset="0"/>
                        <a:cs typeface="Arial" pitchFamily="34" charset="0"/>
                      </a:rPr>
                      <a:t>79,8 </a:t>
                    </a:r>
                    <a:r>
                      <a:rPr lang="en-US" sz="900">
                        <a:latin typeface="Arial" pitchFamily="34" charset="0"/>
                        <a:cs typeface="Arial" pitchFamily="34" charset="0"/>
                      </a:rPr>
                      <a:t>%</a:t>
                    </a:r>
                  </a:p>
                </c:rich>
              </c:tx>
              <c:showLegendKey val="0"/>
              <c:showVal val="0"/>
              <c:showCatName val="1"/>
              <c:showSerName val="0"/>
              <c:showPercent val="1"/>
              <c:showBubbleSize val="0"/>
            </c:dLbl>
            <c:numFmt formatCode="0.0%" sourceLinked="0"/>
            <c:txPr>
              <a:bodyPr/>
              <a:lstStyle/>
              <a:p>
                <a:pPr>
                  <a:defRPr sz="900">
                    <a:latin typeface="Arial" pitchFamily="34" charset="0"/>
                    <a:cs typeface="Arial" pitchFamily="34" charset="0"/>
                  </a:defRPr>
                </a:pPr>
                <a:endParaRPr lang="cs-CZ"/>
              </a:p>
            </c:txPr>
            <c:showLegendKey val="0"/>
            <c:showVal val="0"/>
            <c:showCatName val="1"/>
            <c:showSerName val="0"/>
            <c:showPercent val="1"/>
            <c:showBubbleSize val="0"/>
            <c:showLeaderLines val="0"/>
          </c:dLbls>
          <c:cat>
            <c:strRef>
              <c:f>data!$A$3:$A$11</c:f>
              <c:strCache>
                <c:ptCount val="9"/>
                <c:pt idx="0">
                  <c:v>mimo EU28
non-EU28</c:v>
                </c:pt>
                <c:pt idx="1">
                  <c:v>nespecifikováno
unspecified</c:v>
                </c:pt>
                <c:pt idx="2">
                  <c:v>Německo
Germany</c:v>
                </c:pt>
                <c:pt idx="3">
                  <c:v>Slovensko
Slovakia</c:v>
                </c:pt>
                <c:pt idx="4">
                  <c:v>Polsko
Poland</c:v>
                </c:pt>
                <c:pt idx="5">
                  <c:v>Francie
France</c:v>
                </c:pt>
                <c:pt idx="6">
                  <c:v>Spojené království
United Kingdom</c:v>
                </c:pt>
                <c:pt idx="7">
                  <c:v>Rakousko
Austria</c:v>
                </c:pt>
                <c:pt idx="8">
                  <c:v>ostatní státy EU28
other EU28 states</c:v>
                </c:pt>
              </c:strCache>
            </c:strRef>
          </c:cat>
          <c:val>
            <c:numRef>
              <c:f>data!$B$3:$B$11</c:f>
              <c:numCache>
                <c:formatCode>0.0%</c:formatCode>
                <c:ptCount val="9"/>
                <c:pt idx="0">
                  <c:v>0.20100000000000001</c:v>
                </c:pt>
                <c:pt idx="1">
                  <c:v>1E-3</c:v>
                </c:pt>
                <c:pt idx="2">
                  <c:v>0.30299999999999999</c:v>
                </c:pt>
                <c:pt idx="3">
                  <c:v>9.4E-2</c:v>
                </c:pt>
                <c:pt idx="4">
                  <c:v>5.8000000000000003E-2</c:v>
                </c:pt>
                <c:pt idx="5">
                  <c:v>4.9000000000000002E-2</c:v>
                </c:pt>
                <c:pt idx="6">
                  <c:v>4.2000000000000003E-2</c:v>
                </c:pt>
                <c:pt idx="7">
                  <c:v>4.2000000000000003E-2</c:v>
                </c:pt>
                <c:pt idx="8">
                  <c:v>0.21</c:v>
                </c:pt>
              </c:numCache>
            </c:numRef>
          </c:val>
        </c:ser>
        <c:dLbls>
          <c:showLegendKey val="0"/>
          <c:showVal val="0"/>
          <c:showCatName val="1"/>
          <c:showSerName val="0"/>
          <c:showPercent val="1"/>
          <c:showBubbleSize val="0"/>
          <c:showLeaderLines val="0"/>
        </c:dLbls>
        <c:gapWidth val="100"/>
        <c:splitType val="pos"/>
        <c:splitPos val="7"/>
        <c:secondPieSize val="145"/>
        <c:serLines>
          <c:spPr>
            <a:ln>
              <a:solidFill>
                <a:schemeClr val="tx2">
                  <a:lumMod val="75000"/>
                </a:schemeClr>
              </a:solidFill>
            </a:ln>
          </c:spPr>
        </c:serLines>
      </c:of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4</Pages>
  <Words>1442</Words>
  <Characters>8509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14</cp:revision>
  <dcterms:created xsi:type="dcterms:W3CDTF">2014-02-13T11:56:00Z</dcterms:created>
  <dcterms:modified xsi:type="dcterms:W3CDTF">2014-02-17T20:44:00Z</dcterms:modified>
</cp:coreProperties>
</file>